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831D0" w14:textId="13ACB279" w:rsidR="008410C9" w:rsidRPr="002E7790" w:rsidRDefault="00F06D16" w:rsidP="000545EE">
      <w:pPr>
        <w:pStyle w:val="Chapterhead"/>
        <w:spacing w:before="240" w:after="240" w:line="240" w:lineRule="auto"/>
        <w:jc w:val="center"/>
        <w:outlineLvl w:val="0"/>
        <w:rPr>
          <w:lang w:val="es-ES"/>
        </w:rPr>
      </w:pPr>
      <w:bookmarkStart w:id="0" w:name="_Hlk90391221"/>
      <w:bookmarkStart w:id="1" w:name="_Hlk90391279"/>
      <w:r>
        <w:rPr>
          <w:bCs/>
          <w:lang w:val="es-ES"/>
        </w:rPr>
        <w:t xml:space="preserve">LA </w:t>
      </w:r>
      <w:r w:rsidR="00D8075C">
        <w:rPr>
          <w:bCs/>
          <w:lang w:val="es-ES"/>
        </w:rPr>
        <w:t>RED MUNDIAL BÁSICA DE OBSERVACIONES (GBON)</w:t>
      </w:r>
      <w:bookmarkStart w:id="2" w:name="_p_D177775A2800FB4CABE091476B8877BA"/>
      <w:bookmarkEnd w:id="2"/>
    </w:p>
    <w:p w14:paraId="63DBB9C0" w14:textId="1406BCF1" w:rsidR="008410C9" w:rsidRPr="002E7790" w:rsidRDefault="00DA658E" w:rsidP="002D6853">
      <w:pPr>
        <w:pStyle w:val="Heading10"/>
        <w:spacing w:before="360" w:after="240" w:line="240" w:lineRule="auto"/>
        <w:jc w:val="both"/>
        <w:outlineLvl w:val="1"/>
        <w:rPr>
          <w:sz w:val="24"/>
          <w:szCs w:val="24"/>
          <w:lang w:val="es-ES"/>
        </w:rPr>
      </w:pPr>
      <w:bookmarkStart w:id="3" w:name="_Hlk115344512"/>
      <w:r>
        <w:rPr>
          <w:lang w:val="es-ES"/>
        </w:rPr>
        <w:t xml:space="preserve">1. </w:t>
      </w:r>
      <w:r>
        <w:rPr>
          <w:lang w:val="es-ES"/>
        </w:rPr>
        <w:tab/>
        <w:t>INTRODUCCIÓN</w:t>
      </w:r>
      <w:bookmarkStart w:id="4" w:name="_GoBack"/>
      <w:bookmarkEnd w:id="3"/>
      <w:bookmarkEnd w:id="4"/>
    </w:p>
    <w:p w14:paraId="7F71D5A3" w14:textId="77777777" w:rsidR="008410C9" w:rsidRPr="002E7790" w:rsidRDefault="00577796" w:rsidP="001D339F">
      <w:pPr>
        <w:pStyle w:val="Bodytext"/>
        <w:spacing w:before="240" w:after="0"/>
        <w:rPr>
          <w:lang w:val="es-ES"/>
        </w:rPr>
      </w:pPr>
      <w:r>
        <w:rPr>
          <w:lang w:val="es-ES"/>
        </w:rPr>
        <w:t>La Red Mundial Básica de Observaciones (GBON) es un subconjunto del subsistema de superficie del Sistema Mundial Integrado de Sistemas de Observación de la OMM (WIGOS) que, utilizado en combinación con el subsistema espacial y otros sistemas de observación en superficie del WIGOS, contribuirá a satisfacer las necesidades de predicción numérica del tiempo (PNT) a escala mundial, incluido el reanálisis en apoyo de la vigilancia del clima.</w:t>
      </w:r>
    </w:p>
    <w:p w14:paraId="4D1DC02E" w14:textId="084A799B" w:rsidR="00E14341" w:rsidRPr="002E7790" w:rsidRDefault="00E14341" w:rsidP="001D339F">
      <w:pPr>
        <w:pStyle w:val="Bodytext"/>
        <w:spacing w:before="240" w:after="0"/>
        <w:rPr>
          <w:lang w:val="es-ES"/>
        </w:rPr>
      </w:pPr>
      <w:r>
        <w:rPr>
          <w:lang w:val="es-ES"/>
        </w:rPr>
        <w:t xml:space="preserve">En los últimos decenios, la PNT se ha convertido en la base común de todos los servicios meteorológicos y climáticos de los países, ya sean </w:t>
      </w:r>
      <w:r w:rsidR="002E7790">
        <w:rPr>
          <w:lang w:val="es-ES"/>
        </w:rPr>
        <w:t xml:space="preserve">estos </w:t>
      </w:r>
      <w:r>
        <w:rPr>
          <w:lang w:val="es-ES"/>
        </w:rPr>
        <w:t>grandes o pequeños.</w:t>
      </w:r>
    </w:p>
    <w:p w14:paraId="09628932" w14:textId="60AE5ACF" w:rsidR="00E14341" w:rsidRPr="002E7790" w:rsidRDefault="00E14341" w:rsidP="001D339F">
      <w:pPr>
        <w:pStyle w:val="Bodytext"/>
        <w:spacing w:before="240" w:after="0"/>
        <w:rPr>
          <w:lang w:val="es-ES"/>
        </w:rPr>
      </w:pPr>
      <w:r>
        <w:rPr>
          <w:lang w:val="es-ES"/>
        </w:rPr>
        <w:t xml:space="preserve">Por lo tanto, los Miembros dependen cada vez más de los productos de datos de modelos </w:t>
      </w:r>
      <w:r w:rsidR="00E4666D" w:rsidRPr="00E4666D">
        <w:rPr>
          <w:lang w:val="es-ES"/>
        </w:rPr>
        <w:t>suministrados</w:t>
      </w:r>
      <w:r>
        <w:rPr>
          <w:lang w:val="es-ES"/>
        </w:rPr>
        <w:t xml:space="preserve"> </w:t>
      </w:r>
      <w:r w:rsidR="00327C3B" w:rsidRPr="00327C3B">
        <w:rPr>
          <w:lang w:val="es-ES"/>
        </w:rPr>
        <w:t>por los centros de modelización y predicción mundiales y regionales</w:t>
      </w:r>
      <w:r>
        <w:rPr>
          <w:lang w:val="es-ES"/>
        </w:rPr>
        <w:t xml:space="preserve"> para generar y prestar servicios a sus comunidades. Sin embargo, estos centros y productos, a su vez, dependen totalmente del suministro constante de observaciones fiables procedentes de todo el mundo a fin de asegurar la calidad de sus productos meteorológicos y climáticos.</w:t>
      </w:r>
    </w:p>
    <w:p w14:paraId="2435E688" w14:textId="77777777" w:rsidR="003E228C" w:rsidRPr="003530E7" w:rsidRDefault="00A31A0B" w:rsidP="007F244D">
      <w:pPr>
        <w:pStyle w:val="Bodytext"/>
        <w:spacing w:before="240" w:after="0" w:line="240" w:lineRule="auto"/>
        <w:jc w:val="center"/>
      </w:pPr>
      <w:r w:rsidRPr="003530E7">
        <w:rPr>
          <w:noProof/>
        </w:rPr>
        <w:drawing>
          <wp:inline distT="0" distB="0" distL="0" distR="0" wp14:anchorId="2A8EB99C" wp14:editId="1C401BA2">
            <wp:extent cx="5785200" cy="4683600"/>
            <wp:effectExtent l="0" t="0" r="6350" b="317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5200" cy="4683600"/>
                    </a:xfrm>
                    <a:prstGeom prst="rect">
                      <a:avLst/>
                    </a:prstGeom>
                    <a:noFill/>
                    <a:ln>
                      <a:noFill/>
                    </a:ln>
                  </pic:spPr>
                </pic:pic>
              </a:graphicData>
            </a:graphic>
          </wp:inline>
        </w:drawing>
      </w:r>
    </w:p>
    <w:p w14:paraId="62B09596" w14:textId="647ED004" w:rsidR="0033072D" w:rsidRPr="002E7790" w:rsidRDefault="00481192" w:rsidP="00D4732D">
      <w:pPr>
        <w:pStyle w:val="Bodytext"/>
        <w:spacing w:before="240" w:after="0" w:line="240" w:lineRule="auto"/>
        <w:jc w:val="center"/>
        <w:rPr>
          <w:b/>
          <w:bCs/>
          <w:sz w:val="18"/>
          <w:szCs w:val="18"/>
          <w:lang w:val="es-ES"/>
        </w:rPr>
      </w:pPr>
      <w:r>
        <w:rPr>
          <w:b/>
          <w:bCs/>
          <w:lang w:val="es-ES"/>
        </w:rPr>
        <w:t>Figura 1.1.</w:t>
      </w:r>
      <w:r>
        <w:rPr>
          <w:lang w:val="es-ES"/>
        </w:rPr>
        <w:t xml:space="preserve"> </w:t>
      </w:r>
      <w:r>
        <w:rPr>
          <w:b/>
          <w:bCs/>
          <w:lang w:val="es-ES"/>
        </w:rPr>
        <w:t xml:space="preserve">Observaciones de la presión terrestre en superficie recibidas </w:t>
      </w:r>
      <w:r w:rsidR="00ED5163">
        <w:rPr>
          <w:b/>
          <w:bCs/>
          <w:lang w:val="es-ES"/>
        </w:rPr>
        <w:br/>
      </w:r>
      <w:r>
        <w:rPr>
          <w:b/>
          <w:bCs/>
          <w:lang w:val="es-ES"/>
        </w:rPr>
        <w:t xml:space="preserve">por uno o varios Centros de Monitorización del WIGOS (centros </w:t>
      </w:r>
      <w:r w:rsidR="00ED5163">
        <w:rPr>
          <w:b/>
          <w:bCs/>
          <w:lang w:val="es-ES"/>
        </w:rPr>
        <w:br/>
      </w:r>
      <w:r>
        <w:rPr>
          <w:b/>
          <w:bCs/>
          <w:lang w:val="es-ES"/>
        </w:rPr>
        <w:t xml:space="preserve">de PNT de todo el mundo que colaboran con el WDQMS – DWD, </w:t>
      </w:r>
      <w:r w:rsidR="00ED5163">
        <w:rPr>
          <w:b/>
          <w:bCs/>
          <w:lang w:val="es-ES"/>
        </w:rPr>
        <w:br/>
      </w:r>
      <w:r>
        <w:rPr>
          <w:b/>
          <w:bCs/>
          <w:lang w:val="es-ES"/>
        </w:rPr>
        <w:t>el ECMWF, el JMA y el NCEP) el</w:t>
      </w:r>
      <w:r w:rsidR="00E600C9">
        <w:rPr>
          <w:b/>
          <w:bCs/>
          <w:lang w:val="es-ES"/>
        </w:rPr>
        <w:t xml:space="preserve"> </w:t>
      </w:r>
      <w:r>
        <w:rPr>
          <w:b/>
          <w:bCs/>
          <w:lang w:val="es-ES"/>
        </w:rPr>
        <w:t>2 de enero de 2023, 00Z.</w:t>
      </w:r>
    </w:p>
    <w:p w14:paraId="42D9BF0E" w14:textId="360650E9" w:rsidR="0046303D" w:rsidRPr="001D339F" w:rsidRDefault="00811022" w:rsidP="000545EE">
      <w:pPr>
        <w:pStyle w:val="Bodytext"/>
        <w:spacing w:before="120" w:line="240" w:lineRule="auto"/>
        <w:rPr>
          <w:sz w:val="18"/>
          <w:szCs w:val="18"/>
          <w:lang w:val="es-ES"/>
        </w:rPr>
      </w:pPr>
      <w:r w:rsidRPr="001D339F">
        <w:rPr>
          <w:sz w:val="18"/>
          <w:szCs w:val="18"/>
          <w:lang w:val="es-ES"/>
        </w:rPr>
        <w:t>(El código de colores se corresponde con los requisitos básicos de la GBON: las estaciones que facilitan datos completos aparecen en verde, las estaciones que facilitan datos parciales en naranja o en rojo, y las estaciones que no informan (que no envían informes) en negro).</w:t>
      </w:r>
    </w:p>
    <w:p w14:paraId="36835926" w14:textId="77777777" w:rsidR="00E14341" w:rsidRPr="002E7790" w:rsidRDefault="00E14341" w:rsidP="001D339F">
      <w:pPr>
        <w:pStyle w:val="Bodytext"/>
        <w:rPr>
          <w:lang w:val="es-ES"/>
        </w:rPr>
      </w:pPr>
      <w:r>
        <w:rPr>
          <w:lang w:val="es-ES"/>
        </w:rPr>
        <w:lastRenderedPageBreak/>
        <w:t>En la actualidad, existen grandes carencias en tierra y mar, puesto que faltan observaciones esenciales en superficie. Por ejemplo, los puntos negros del mapa anterior muestran las observaciones de presión en superficie no disponibles en los Centros de Monitorización del WIGOS (centros de PNT de todo el mundo que colaboran con el WDQMS). Los puntos rojos o naranjas indican los casos en los que se dispone de observaciones, pero que actualmente no se comparten a escala internacional con la frecuencia temporal necesaria.</w:t>
      </w:r>
    </w:p>
    <w:p w14:paraId="67FFD135" w14:textId="4599C7CA" w:rsidR="00E14341" w:rsidRPr="002E7790" w:rsidRDefault="00C93E1C" w:rsidP="001D339F">
      <w:pPr>
        <w:pStyle w:val="Bodytext"/>
        <w:rPr>
          <w:lang w:val="es-ES"/>
        </w:rPr>
      </w:pPr>
      <w:r w:rsidRPr="00C93E1C">
        <w:rPr>
          <w:lang w:val="es-ES"/>
        </w:rPr>
        <w:t>Para responder a las carencias geográficas persistentes en la cobertura de datos, los Miembros de la OMM han adoptado la GBON, que representa un enfoque nuevo destinado a diseñar, definir y supervisar a escala mundial la red básica de observaciones en superficie necesaria para incorporar datos de entrada en los modelos de PNT.</w:t>
      </w:r>
    </w:p>
    <w:p w14:paraId="5C09C641" w14:textId="5B8877F0" w:rsidR="00CE6672" w:rsidRPr="002E7790" w:rsidRDefault="0082296E" w:rsidP="001D339F">
      <w:pPr>
        <w:pStyle w:val="Bodytext"/>
        <w:rPr>
          <w:lang w:val="es-ES"/>
        </w:rPr>
      </w:pPr>
      <w:r>
        <w:rPr>
          <w:lang w:val="es-ES"/>
        </w:rPr>
        <w:t xml:space="preserve">Las mejoras que la GBON introducirá en el intercambio internacional de datos de observación se extenderán por toda la cadena de valor meteorológica y generarán unos beneficios que, según las estimaciones, ascenderán a más de 5 000 millones de dólares estadounidenses anuales (véase </w:t>
      </w:r>
      <w:hyperlink r:id="rId12" w:anchor=".YcM1KxOZPX1" w:history="1">
        <w:proofErr w:type="spellStart"/>
        <w:r w:rsidRPr="00336CAF">
          <w:rPr>
            <w:rStyle w:val="Hyperlink"/>
            <w:i/>
            <w:iCs/>
            <w:lang w:val="es-ES"/>
          </w:rPr>
          <w:t>The</w:t>
        </w:r>
        <w:proofErr w:type="spellEnd"/>
        <w:r w:rsidRPr="00336CAF">
          <w:rPr>
            <w:rStyle w:val="Hyperlink"/>
            <w:i/>
            <w:iCs/>
            <w:lang w:val="es-ES"/>
          </w:rPr>
          <w:t xml:space="preserve"> </w:t>
        </w:r>
        <w:proofErr w:type="spellStart"/>
        <w:r w:rsidRPr="00336CAF">
          <w:rPr>
            <w:rStyle w:val="Hyperlink"/>
            <w:i/>
            <w:iCs/>
            <w:lang w:val="es-ES"/>
          </w:rPr>
          <w:t>value</w:t>
        </w:r>
        <w:proofErr w:type="spellEnd"/>
        <w:r w:rsidRPr="00336CAF">
          <w:rPr>
            <w:rStyle w:val="Hyperlink"/>
            <w:i/>
            <w:iCs/>
            <w:lang w:val="es-ES"/>
          </w:rPr>
          <w:t xml:space="preserve"> </w:t>
        </w:r>
        <w:proofErr w:type="spellStart"/>
        <w:r w:rsidRPr="00336CAF">
          <w:rPr>
            <w:rStyle w:val="Hyperlink"/>
            <w:i/>
            <w:iCs/>
            <w:lang w:val="es-ES"/>
          </w:rPr>
          <w:t>of</w:t>
        </w:r>
        <w:proofErr w:type="spellEnd"/>
        <w:r w:rsidRPr="00336CAF">
          <w:rPr>
            <w:rStyle w:val="Hyperlink"/>
            <w:i/>
            <w:iCs/>
            <w:lang w:val="es-ES"/>
          </w:rPr>
          <w:t xml:space="preserve"> Surface-</w:t>
        </w:r>
        <w:proofErr w:type="spellStart"/>
        <w:r w:rsidRPr="00336CAF">
          <w:rPr>
            <w:rStyle w:val="Hyperlink"/>
            <w:i/>
            <w:iCs/>
            <w:lang w:val="es-ES"/>
          </w:rPr>
          <w:t>Based</w:t>
        </w:r>
        <w:proofErr w:type="spellEnd"/>
        <w:r w:rsidRPr="00336CAF">
          <w:rPr>
            <w:rStyle w:val="Hyperlink"/>
            <w:i/>
            <w:iCs/>
            <w:lang w:val="es-ES"/>
          </w:rPr>
          <w:t xml:space="preserve"> </w:t>
        </w:r>
        <w:proofErr w:type="spellStart"/>
        <w:r w:rsidRPr="00336CAF">
          <w:rPr>
            <w:rStyle w:val="Hyperlink"/>
            <w:i/>
            <w:iCs/>
            <w:lang w:val="es-ES"/>
          </w:rPr>
          <w:t>Meteorological</w:t>
        </w:r>
        <w:proofErr w:type="spellEnd"/>
        <w:r w:rsidRPr="00336CAF">
          <w:rPr>
            <w:rStyle w:val="Hyperlink"/>
            <w:i/>
            <w:iCs/>
            <w:lang w:val="es-ES"/>
          </w:rPr>
          <w:t xml:space="preserve"> </w:t>
        </w:r>
        <w:proofErr w:type="spellStart"/>
        <w:r w:rsidRPr="00336CAF">
          <w:rPr>
            <w:rStyle w:val="Hyperlink"/>
            <w:i/>
            <w:iCs/>
            <w:lang w:val="es-ES"/>
          </w:rPr>
          <w:t>Observation</w:t>
        </w:r>
        <w:proofErr w:type="spellEnd"/>
        <w:r w:rsidRPr="00336CAF">
          <w:rPr>
            <w:rStyle w:val="Hyperlink"/>
            <w:i/>
            <w:iCs/>
            <w:lang w:val="es-ES"/>
          </w:rPr>
          <w:t xml:space="preserve"> Data: </w:t>
        </w:r>
        <w:proofErr w:type="spellStart"/>
        <w:r w:rsidRPr="00336CAF">
          <w:rPr>
            <w:rStyle w:val="Hyperlink"/>
            <w:i/>
            <w:iCs/>
            <w:lang w:val="es-ES"/>
          </w:rPr>
          <w:t>Costs</w:t>
        </w:r>
        <w:proofErr w:type="spellEnd"/>
        <w:r w:rsidRPr="00336CAF">
          <w:rPr>
            <w:rStyle w:val="Hyperlink"/>
            <w:i/>
            <w:iCs/>
            <w:lang w:val="es-ES"/>
          </w:rPr>
          <w:t xml:space="preserve"> and </w:t>
        </w:r>
        <w:proofErr w:type="spellStart"/>
        <w:r w:rsidRPr="00336CAF">
          <w:rPr>
            <w:rStyle w:val="Hyperlink"/>
            <w:i/>
            <w:iCs/>
            <w:lang w:val="es-ES"/>
          </w:rPr>
          <w:t>benefits</w:t>
        </w:r>
        <w:proofErr w:type="spellEnd"/>
        <w:r w:rsidRPr="00336CAF">
          <w:rPr>
            <w:rStyle w:val="Hyperlink"/>
            <w:i/>
            <w:iCs/>
            <w:lang w:val="es-ES"/>
          </w:rPr>
          <w:t xml:space="preserve"> </w:t>
        </w:r>
        <w:proofErr w:type="spellStart"/>
        <w:r w:rsidRPr="00336CAF">
          <w:rPr>
            <w:rStyle w:val="Hyperlink"/>
            <w:i/>
            <w:iCs/>
            <w:lang w:val="es-ES"/>
          </w:rPr>
          <w:t>of</w:t>
        </w:r>
        <w:proofErr w:type="spellEnd"/>
        <w:r w:rsidRPr="00336CAF">
          <w:rPr>
            <w:rStyle w:val="Hyperlink"/>
            <w:i/>
            <w:iCs/>
            <w:lang w:val="es-ES"/>
          </w:rPr>
          <w:t xml:space="preserve"> </w:t>
        </w:r>
        <w:proofErr w:type="spellStart"/>
        <w:r w:rsidRPr="00336CAF">
          <w:rPr>
            <w:rStyle w:val="Hyperlink"/>
            <w:i/>
            <w:iCs/>
            <w:lang w:val="es-ES"/>
          </w:rPr>
          <w:t>the</w:t>
        </w:r>
        <w:proofErr w:type="spellEnd"/>
        <w:r w:rsidRPr="00336CAF">
          <w:rPr>
            <w:rStyle w:val="Hyperlink"/>
            <w:i/>
            <w:iCs/>
            <w:lang w:val="es-ES"/>
          </w:rPr>
          <w:t xml:space="preserve"> Global Basic </w:t>
        </w:r>
        <w:proofErr w:type="spellStart"/>
        <w:r w:rsidRPr="00336CAF">
          <w:rPr>
            <w:rStyle w:val="Hyperlink"/>
            <w:i/>
            <w:iCs/>
            <w:lang w:val="es-ES"/>
          </w:rPr>
          <w:t>Observing</w:t>
        </w:r>
        <w:proofErr w:type="spellEnd"/>
        <w:r w:rsidRPr="00336CAF">
          <w:rPr>
            <w:rStyle w:val="Hyperlink"/>
            <w:i/>
            <w:iCs/>
            <w:lang w:val="es-ES"/>
          </w:rPr>
          <w:t xml:space="preserve"> Network</w:t>
        </w:r>
      </w:hyperlink>
      <w:r>
        <w:rPr>
          <w:lang w:val="es-ES"/>
        </w:rPr>
        <w:t xml:space="preserve"> (El valor de los datos de observación meteorológica en superficie: costos y beneficios de la Red Mundial Básica de Observaciones)).</w:t>
      </w:r>
    </w:p>
    <w:p w14:paraId="7E0789F2" w14:textId="55D6C33F" w:rsidR="005610AA" w:rsidRPr="002E7790" w:rsidRDefault="00336CAF" w:rsidP="00706803">
      <w:pPr>
        <w:pStyle w:val="Bodytext"/>
        <w:rPr>
          <w:lang w:val="es-ES"/>
        </w:rPr>
      </w:pPr>
      <w:r w:rsidRPr="00336CAF">
        <w:rPr>
          <w:lang w:val="es-ES"/>
        </w:rPr>
        <w:t>Los beneficios derivados del aumento de las observaciones</w:t>
      </w:r>
      <w:r w:rsidR="0082296E">
        <w:rPr>
          <w:lang w:val="es-ES"/>
        </w:rPr>
        <w:t xml:space="preserve"> en superficie a través de la GBON repercutirán sobre todo en aquellas zonas de las que actualmente no se dispone de observaciones, en particular algunas de las regiones más vulnerables al cambio climático y sus consecuencias. No obstante, dada la naturaleza global del tiempo y el clima, los beneficios de la GBON se materializarán en los países donde se lleven a cabo las mejoras y también a escala mundial.</w:t>
      </w:r>
    </w:p>
    <w:p w14:paraId="0243FD0F" w14:textId="4ADFC733" w:rsidR="005610AA" w:rsidRPr="002E7790" w:rsidRDefault="0082296E" w:rsidP="00706803">
      <w:pPr>
        <w:pStyle w:val="Bodytext"/>
        <w:rPr>
          <w:lang w:val="es-ES"/>
        </w:rPr>
      </w:pPr>
      <w:r>
        <w:rPr>
          <w:lang w:val="es-ES"/>
        </w:rPr>
        <w:t xml:space="preserve">Con el fin de que los Miembros de la OMM implementen plenamente la GBON y logren los beneficios mencionados anteriormente, se necesitarán más inversiones y actividades de desarrollo de capacidad en muchos países en desarrollo. Por lo tanto, la OMM </w:t>
      </w:r>
      <w:r w:rsidR="00AA137C">
        <w:rPr>
          <w:lang w:val="es-ES"/>
        </w:rPr>
        <w:t xml:space="preserve">está </w:t>
      </w:r>
      <w:r>
        <w:rPr>
          <w:lang w:val="es-ES"/>
        </w:rPr>
        <w:t>colabora</w:t>
      </w:r>
      <w:r w:rsidR="00AA137C">
        <w:rPr>
          <w:lang w:val="es-ES"/>
        </w:rPr>
        <w:t>ndo</w:t>
      </w:r>
      <w:r>
        <w:rPr>
          <w:lang w:val="es-ES"/>
        </w:rPr>
        <w:t xml:space="preserve"> estrechamente con las comunidades internacionales de desarrollo y de financiación del clima para facilitar esa labor, lo que incluye la creación del Servicio de Financiamiento de Observaciones Sistemáticas (</w:t>
      </w:r>
      <w:hyperlink r:id="rId13" w:history="1">
        <w:r w:rsidRPr="003B3071">
          <w:rPr>
            <w:rStyle w:val="Hyperlink"/>
            <w:lang w:val="es-ES"/>
          </w:rPr>
          <w:t>SOFF</w:t>
        </w:r>
      </w:hyperlink>
      <w:r>
        <w:rPr>
          <w:lang w:val="es-ES"/>
        </w:rPr>
        <w:t xml:space="preserve">). Para obtener más información sobre cómo trabaja el SOFF para ayudar a reducir las carencias de la GBON, pinche </w:t>
      </w:r>
      <w:hyperlink r:id="rId14" w:anchor=".YcNfohOZPX3" w:history="1">
        <w:r w:rsidRPr="003B3071">
          <w:rPr>
            <w:rStyle w:val="Hyperlink"/>
            <w:lang w:val="es-ES"/>
          </w:rPr>
          <w:t>aquí</w:t>
        </w:r>
      </w:hyperlink>
      <w:r>
        <w:rPr>
          <w:lang w:val="es-ES"/>
        </w:rPr>
        <w:t>.</w:t>
      </w:r>
    </w:p>
    <w:p w14:paraId="054FCA8C" w14:textId="5E4F478D" w:rsidR="0091709D" w:rsidRPr="002E7790" w:rsidRDefault="00BC0645" w:rsidP="00706803">
      <w:pPr>
        <w:pStyle w:val="Bodytext"/>
        <w:rPr>
          <w:lang w:val="es-ES"/>
        </w:rPr>
      </w:pPr>
      <w:bookmarkStart w:id="5" w:name="_p_3F16EFFCCADBB54BB73155A08D70AB9C"/>
      <w:bookmarkStart w:id="6" w:name="_p_BCAF1B89D0C6FE4EA79E2CCC605AB21E"/>
      <w:bookmarkEnd w:id="0"/>
      <w:bookmarkEnd w:id="1"/>
      <w:bookmarkEnd w:id="5"/>
      <w:bookmarkEnd w:id="6"/>
      <w:r>
        <w:rPr>
          <w:lang w:val="es-ES"/>
        </w:rPr>
        <w:t xml:space="preserve">Las disposiciones del </w:t>
      </w:r>
      <w:r w:rsidRPr="00706803">
        <w:rPr>
          <w:i/>
          <w:iCs/>
          <w:lang w:val="es-ES"/>
        </w:rPr>
        <w:t>Manual del Sistema Mundial Integrado de Sistemas de Observación de la OMM</w:t>
      </w:r>
      <w:r>
        <w:rPr>
          <w:lang w:val="es-ES"/>
        </w:rPr>
        <w:t xml:space="preserve"> (OMM-Nº 1160), </w:t>
      </w:r>
      <w:hyperlink r:id="rId15" w:anchor="page=87" w:history="1">
        <w:r w:rsidRPr="00706803">
          <w:rPr>
            <w:rStyle w:val="Hyperlink"/>
            <w:lang w:val="es-ES"/>
          </w:rPr>
          <w:t>sección 3.2.2</w:t>
        </w:r>
      </w:hyperlink>
      <w:r>
        <w:rPr>
          <w:lang w:val="es-ES"/>
        </w:rPr>
        <w:t xml:space="preserve"> Red Mundial Básica de Observaciones, se basan en las necesidades de observación actuales de PNT a escala mundial definidas por los expertos técnicos que trabajan en la Comisión de Observaciones, Infraestructura y Sistemas de Información</w:t>
      </w:r>
      <w:r w:rsidR="00A602E1">
        <w:rPr>
          <w:lang w:val="es-ES"/>
        </w:rPr>
        <w:t xml:space="preserve"> de la OMM</w:t>
      </w:r>
      <w:r>
        <w:rPr>
          <w:lang w:val="es-ES"/>
        </w:rPr>
        <w:t xml:space="preserve"> (INFCOM) y en el Sistema Mundial de Observación del Clima. Sobre la base de más de 20 años de estudios </w:t>
      </w:r>
      <w:r w:rsidR="00EE3CA4">
        <w:rPr>
          <w:lang w:val="es-ES"/>
        </w:rPr>
        <w:t xml:space="preserve">coordinados por la OMM </w:t>
      </w:r>
      <w:r>
        <w:rPr>
          <w:lang w:val="es-ES"/>
        </w:rPr>
        <w:t>sobre los efectos de los datos de observación de PNT, las disposiciones especifican —en términos claros y cuantitativos— las obligaciones de los Miembros de la OMM de recopilar e intercambiar estas observaciones tan sumamente necesarias: qué parámetros medir, con qué frecuencia, con qué resolución horizontal y vertical, y qué técnicas de medición emplear.</w:t>
      </w:r>
    </w:p>
    <w:p w14:paraId="611A02C6" w14:textId="77777777" w:rsidR="00C704E1" w:rsidRPr="002E7790" w:rsidRDefault="00C704E1" w:rsidP="0019347D">
      <w:pPr>
        <w:pStyle w:val="Definitionsandothers"/>
        <w:ind w:left="0" w:firstLine="0"/>
        <w:rPr>
          <w:lang w:val="es-ES"/>
        </w:rPr>
      </w:pPr>
      <w:bookmarkStart w:id="7" w:name="_p_113BB79948A9EC41BC0F858B7DB5AA2E"/>
      <w:bookmarkEnd w:id="7"/>
      <w:r>
        <w:rPr>
          <w:lang w:val="es-ES"/>
        </w:rPr>
        <w:t>Los satélites proporcionan una cobertura global y pueden medir parámetros de la atmósfera y la superficie, y los datos obtenidos por satélite contribuyen de manera significativa al grado de acierto en las predicciones. Sin embargo, los sistemas de PNT a escala mundial siguen dependiendo en gran medida de las observaciones en superficie para determinados parámetros clave que todavía no pueden medirse con fiabilidad desde el espacio: en particular, la presión atmosférica en superficie, la distribución vertical de los vientos y los parámetros subsuperficiales del océano. Las observaciones en superficie resultan esenciales sobre tierra, nieve y superficies heladas, puesto que constituyen herramientas fundamentales para verificar las predicciones de modelos, y desempeñan un papel crítico para la calibración y validación de los datos obtenidos desde el espacio.</w:t>
      </w:r>
    </w:p>
    <w:p w14:paraId="3DE95351" w14:textId="146B22B9" w:rsidR="00227CFF" w:rsidRPr="002E7790" w:rsidRDefault="00F603A9" w:rsidP="0019347D">
      <w:pPr>
        <w:pStyle w:val="Definitionsandothers"/>
        <w:ind w:left="0" w:firstLine="0"/>
        <w:rPr>
          <w:lang w:val="es-ES"/>
        </w:rPr>
      </w:pPr>
      <w:r>
        <w:rPr>
          <w:lang w:val="es-ES"/>
        </w:rPr>
        <w:t>Debido al papel fundamental que desempeñan las observaciones en superficie y a las carencias persistentes en las redes de observaci</w:t>
      </w:r>
      <w:r w:rsidR="00E052B0">
        <w:rPr>
          <w:lang w:val="es-ES"/>
        </w:rPr>
        <w:t>ón</w:t>
      </w:r>
      <w:r>
        <w:rPr>
          <w:lang w:val="es-ES"/>
        </w:rPr>
        <w:t xml:space="preserve"> en superficie, la reglamentación relativa a la GBON actualmente solo contempla los datos en superficie. Actualmente, la OMM y los operadores de </w:t>
      </w:r>
      <w:r>
        <w:rPr>
          <w:lang w:val="es-ES"/>
        </w:rPr>
        <w:lastRenderedPageBreak/>
        <w:t>satélites aún están elaborando las repercusiones de la Política Unificada de Datos de la OMM para los datos obtenidos por satélite.</w:t>
      </w:r>
    </w:p>
    <w:p w14:paraId="730723D2" w14:textId="12EC3E00" w:rsidR="002077EE" w:rsidRPr="002E7790" w:rsidRDefault="0095123F" w:rsidP="00216024">
      <w:pPr>
        <w:pStyle w:val="Heading20"/>
        <w:spacing w:before="0" w:line="240" w:lineRule="auto"/>
        <w:outlineLvl w:val="1"/>
        <w:rPr>
          <w:sz w:val="24"/>
          <w:szCs w:val="24"/>
          <w:lang w:val="es-ES"/>
        </w:rPr>
      </w:pPr>
      <w:bookmarkStart w:id="8" w:name="_p_B758AC2DA5C5EF459F628A49D872B102"/>
      <w:bookmarkStart w:id="9" w:name="_p_F67457142C0B7B4CA0F90874836E57C5"/>
      <w:bookmarkStart w:id="10" w:name="_p_65C8C62ED449E6458B08A04AA16DCAB5"/>
      <w:bookmarkStart w:id="11" w:name="_p_2EB61CFB2FBE8D44A3547F43C216B7D1"/>
      <w:bookmarkEnd w:id="8"/>
      <w:bookmarkEnd w:id="9"/>
      <w:bookmarkEnd w:id="10"/>
      <w:bookmarkEnd w:id="11"/>
      <w:r>
        <w:rPr>
          <w:lang w:val="es-ES"/>
        </w:rPr>
        <w:t>2.</w:t>
      </w:r>
      <w:r>
        <w:rPr>
          <w:lang w:val="es-ES"/>
        </w:rPr>
        <w:tab/>
        <w:t>REQUISITOS DE LA GBON</w:t>
      </w:r>
    </w:p>
    <w:p w14:paraId="73F635A2" w14:textId="0C1333EF" w:rsidR="000F35ED" w:rsidRPr="002E7790" w:rsidRDefault="000F35ED" w:rsidP="00216024">
      <w:pPr>
        <w:pStyle w:val="Heading20"/>
        <w:spacing w:line="240" w:lineRule="auto"/>
        <w:outlineLvl w:val="2"/>
        <w:rPr>
          <w:lang w:val="es-ES"/>
        </w:rPr>
      </w:pPr>
      <w:r>
        <w:rPr>
          <w:lang w:val="es-ES"/>
        </w:rPr>
        <w:t>2.1</w:t>
      </w:r>
      <w:r>
        <w:rPr>
          <w:lang w:val="es-ES"/>
        </w:rPr>
        <w:tab/>
        <w:t xml:space="preserve">Requisitos </w:t>
      </w:r>
      <w:r w:rsidR="0077352D">
        <w:rPr>
          <w:lang w:val="es-ES"/>
        </w:rPr>
        <w:t xml:space="preserve">generales </w:t>
      </w:r>
      <w:r>
        <w:rPr>
          <w:lang w:val="es-ES"/>
        </w:rPr>
        <w:t xml:space="preserve">de </w:t>
      </w:r>
      <w:r w:rsidR="0077352D">
        <w:rPr>
          <w:lang w:val="es-ES"/>
        </w:rPr>
        <w:t>la</w:t>
      </w:r>
      <w:r>
        <w:rPr>
          <w:lang w:val="es-ES"/>
        </w:rPr>
        <w:t xml:space="preserve"> GBON</w:t>
      </w:r>
    </w:p>
    <w:p w14:paraId="47747BEA" w14:textId="660723C0" w:rsidR="002077EE" w:rsidRPr="002E7790" w:rsidRDefault="0095123F" w:rsidP="00216024">
      <w:pPr>
        <w:spacing w:after="240" w:line="240" w:lineRule="exact"/>
        <w:rPr>
          <w:lang w:val="es-ES"/>
        </w:rPr>
      </w:pPr>
      <w:r>
        <w:rPr>
          <w:lang w:val="es-ES"/>
        </w:rPr>
        <w:t xml:space="preserve">El propósito general de la GBON es garantizar un suministro adecuado de datos de observación a los centros de PNT de todo el mundo que proporcionan productos a partir de modelos a todos los Miembros. "Suministro adecuado" significa: i) medición de las variables más importantes, </w:t>
      </w:r>
      <w:proofErr w:type="spellStart"/>
      <w:r>
        <w:rPr>
          <w:lang w:val="es-ES"/>
        </w:rPr>
        <w:t>ii</w:t>
      </w:r>
      <w:proofErr w:type="spellEnd"/>
      <w:r>
        <w:rPr>
          <w:lang w:val="es-ES"/>
        </w:rPr>
        <w:t>)</w:t>
      </w:r>
      <w:r w:rsidR="00216024">
        <w:rPr>
          <w:lang w:val="es-ES"/>
        </w:rPr>
        <w:t> </w:t>
      </w:r>
      <w:r>
        <w:rPr>
          <w:lang w:val="es-ES"/>
        </w:rPr>
        <w:t xml:space="preserve">mediciones realizadas con una densidad espacial suficiente, y </w:t>
      </w:r>
      <w:proofErr w:type="spellStart"/>
      <w:r>
        <w:rPr>
          <w:lang w:val="es-ES"/>
        </w:rPr>
        <w:t>iii</w:t>
      </w:r>
      <w:proofErr w:type="spellEnd"/>
      <w:r>
        <w:rPr>
          <w:lang w:val="es-ES"/>
        </w:rPr>
        <w:t>) mediciones notificadas con una frecuencia temporal suficiente.</w:t>
      </w:r>
    </w:p>
    <w:p w14:paraId="5AC2A7C8" w14:textId="6FA380AA" w:rsidR="00124081" w:rsidRPr="002E7790" w:rsidRDefault="00124081" w:rsidP="00216024">
      <w:pPr>
        <w:spacing w:after="240" w:line="240" w:lineRule="exact"/>
        <w:rPr>
          <w:lang w:val="es-ES"/>
        </w:rPr>
      </w:pPr>
      <w:r>
        <w:rPr>
          <w:lang w:val="es-ES"/>
        </w:rPr>
        <w:t xml:space="preserve">Las variables que deberán observar los Miembros en un conjunto de estaciones o plataformas terrestres </w:t>
      </w:r>
      <w:r w:rsidR="003C4E01">
        <w:rPr>
          <w:lang w:val="es-ES"/>
        </w:rPr>
        <w:t xml:space="preserve">de observación </w:t>
      </w:r>
      <w:r w:rsidR="00896D74">
        <w:rPr>
          <w:lang w:val="es-ES"/>
        </w:rPr>
        <w:t>en</w:t>
      </w:r>
      <w:r>
        <w:rPr>
          <w:lang w:val="es-ES"/>
        </w:rPr>
        <w:t xml:space="preserve"> superficie son, como mínimo, la presión atmosférica (SLP), la temperatura del aire (T), la humedad (H), el viento horizontal (W), las precipitaciones (P) y </w:t>
      </w:r>
      <w:r w:rsidR="00896D74">
        <w:rPr>
          <w:lang w:val="es-ES"/>
        </w:rPr>
        <w:t xml:space="preserve">el </w:t>
      </w:r>
      <w:r>
        <w:rPr>
          <w:lang w:val="es-ES"/>
        </w:rPr>
        <w:t>espesor de la nieve (SD), cuando proceda.</w:t>
      </w:r>
    </w:p>
    <w:p w14:paraId="78AB9372" w14:textId="77777777" w:rsidR="00124081" w:rsidRPr="002E7790" w:rsidRDefault="00124081" w:rsidP="00216024">
      <w:pPr>
        <w:pStyle w:val="Bodytext"/>
        <w:rPr>
          <w:lang w:val="es-ES"/>
        </w:rPr>
      </w:pPr>
      <w:r>
        <w:rPr>
          <w:lang w:val="es-ES"/>
        </w:rPr>
        <w:t>Las variables que deberán observar los Miembros en un conjunto de estaciones o plataformas terrestres de observación en altitud son, como mínimo, la temperatura del aire (T), la humedad (H) y el viento horizontal (W).</w:t>
      </w:r>
    </w:p>
    <w:p w14:paraId="69447CEA" w14:textId="77777777" w:rsidR="002013A5" w:rsidRPr="002E7790" w:rsidRDefault="00124081" w:rsidP="00216024">
      <w:pPr>
        <w:pStyle w:val="Bodytext"/>
        <w:rPr>
          <w:lang w:val="es-ES"/>
        </w:rPr>
      </w:pPr>
      <w:r>
        <w:rPr>
          <w:lang w:val="es-ES"/>
        </w:rPr>
        <w:t>Las variables que deberán observar los Miembros en un conjunto de estaciones o plataformas de observación meteorológica marina en superficie, dentro de los límites de su zona económica exclusiva, o de las correspondientes zonas marítimas bajo su jurisdicción, son, como mínimo, la presión atmosférica (SLP) y la temperatura superficial del mar (TSM).</w:t>
      </w:r>
    </w:p>
    <w:p w14:paraId="03790AA2" w14:textId="73DAAD33" w:rsidR="002F7B75" w:rsidRPr="002E7790" w:rsidRDefault="00DC723B" w:rsidP="00216024">
      <w:pPr>
        <w:spacing w:after="240" w:line="240" w:lineRule="exact"/>
        <w:rPr>
          <w:rFonts w:eastAsia="Calibri" w:cs="Calibri"/>
          <w:lang w:val="es-ES"/>
        </w:rPr>
      </w:pPr>
      <w:r>
        <w:rPr>
          <w:lang w:val="es-ES"/>
        </w:rPr>
        <w:t xml:space="preserve">En </w:t>
      </w:r>
      <w:r w:rsidR="00DD32AE">
        <w:rPr>
          <w:lang w:val="es-ES"/>
        </w:rPr>
        <w:t>el cuadro</w:t>
      </w:r>
      <w:r>
        <w:rPr>
          <w:lang w:val="es-ES"/>
        </w:rPr>
        <w:t xml:space="preserve"> 2.1 que se muestra a continuación figura un resumen de los requisitos de la GBON para los distintos tipos de estaciones de observación </w:t>
      </w:r>
      <w:r w:rsidR="00B51AAC">
        <w:rPr>
          <w:lang w:val="es-ES"/>
        </w:rPr>
        <w:t>en términos</w:t>
      </w:r>
      <w:r>
        <w:rPr>
          <w:lang w:val="es-ES"/>
        </w:rPr>
        <w:t xml:space="preserve"> de espacio y tiempo, </w:t>
      </w:r>
      <w:r w:rsidR="00AD56D9" w:rsidRPr="00AD56D9">
        <w:rPr>
          <w:lang w:val="es-ES"/>
        </w:rPr>
        <w:t xml:space="preserve">de acuerdo con las disposiciones de la GBON que son </w:t>
      </w:r>
      <w:r w:rsidR="00377716">
        <w:rPr>
          <w:lang w:val="es-ES"/>
        </w:rPr>
        <w:t>obligatorias</w:t>
      </w:r>
      <w:r w:rsidR="00AD56D9" w:rsidRPr="00AD56D9">
        <w:rPr>
          <w:lang w:val="es-ES"/>
        </w:rPr>
        <w:t xml:space="preserve"> (en negrita) y las que no lo son</w:t>
      </w:r>
      <w:r>
        <w:rPr>
          <w:lang w:val="es-ES"/>
        </w:rPr>
        <w:t>.</w:t>
      </w:r>
    </w:p>
    <w:p w14:paraId="7F90C562" w14:textId="26D1C3DB" w:rsidR="007E26D6" w:rsidRPr="002E7790" w:rsidRDefault="007E26D6" w:rsidP="00216024">
      <w:pPr>
        <w:spacing w:before="360" w:after="360"/>
        <w:jc w:val="center"/>
        <w:rPr>
          <w:rFonts w:eastAsia="Calibri" w:cs="Calibri"/>
          <w:lang w:val="es-ES"/>
        </w:rPr>
      </w:pPr>
      <w:r>
        <w:rPr>
          <w:b/>
          <w:bCs/>
          <w:lang w:val="es-ES"/>
        </w:rPr>
        <w:t>Cuadro 2.1.</w:t>
      </w:r>
      <w:r>
        <w:rPr>
          <w:lang w:val="es-ES"/>
        </w:rPr>
        <w:t xml:space="preserve"> </w:t>
      </w:r>
      <w:r>
        <w:rPr>
          <w:b/>
          <w:bCs/>
          <w:lang w:val="es-ES"/>
        </w:rPr>
        <w:t xml:space="preserve">Resumen de los requisitos de la GBON para los distintos tipos de estaciones de observación, las disposiciones obligatorias </w:t>
      </w:r>
      <w:r w:rsidR="00B92779">
        <w:rPr>
          <w:b/>
          <w:bCs/>
          <w:lang w:val="es-ES"/>
        </w:rPr>
        <w:t>se indican</w:t>
      </w:r>
      <w:r>
        <w:rPr>
          <w:b/>
          <w:bCs/>
          <w:lang w:val="es-ES"/>
        </w:rPr>
        <w:t xml:space="preserve"> en negrita.</w:t>
      </w:r>
    </w:p>
    <w:tbl>
      <w:tblPr>
        <w:tblStyle w:val="TableGrid"/>
        <w:tblW w:w="5078" w:type="pct"/>
        <w:tblLayout w:type="fixed"/>
        <w:tblLook w:val="04A0" w:firstRow="1" w:lastRow="0" w:firstColumn="1" w:lastColumn="0" w:noHBand="0" w:noVBand="1"/>
      </w:tblPr>
      <w:tblGrid>
        <w:gridCol w:w="1833"/>
        <w:gridCol w:w="1562"/>
        <w:gridCol w:w="1560"/>
        <w:gridCol w:w="1701"/>
        <w:gridCol w:w="1274"/>
        <w:gridCol w:w="1843"/>
      </w:tblGrid>
      <w:tr w:rsidR="00DC723B" w:rsidRPr="00F97397" w14:paraId="1FAB3D72" w14:textId="77777777" w:rsidTr="00216024">
        <w:trPr>
          <w:trHeight w:val="53"/>
          <w:tblHeader/>
        </w:trPr>
        <w:tc>
          <w:tcPr>
            <w:tcW w:w="938"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6FF14B5E" w14:textId="40868A06" w:rsidR="00DC723B" w:rsidRPr="00F97397" w:rsidRDefault="00DC723B" w:rsidP="00D4732D">
            <w:pPr>
              <w:spacing w:before="60" w:after="60"/>
              <w:jc w:val="center"/>
              <w:rPr>
                <w:rFonts w:eastAsia="Calibri" w:cs="Calibri"/>
                <w:sz w:val="20"/>
                <w:szCs w:val="20"/>
                <w:lang w:val="es-ES"/>
              </w:rPr>
            </w:pPr>
          </w:p>
        </w:tc>
        <w:tc>
          <w:tcPr>
            <w:tcW w:w="799"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16E53E47" w14:textId="77777777" w:rsidR="00DC723B" w:rsidRPr="00F97397" w:rsidRDefault="00DC723B" w:rsidP="00D4732D">
            <w:pPr>
              <w:spacing w:before="60" w:after="60"/>
              <w:jc w:val="center"/>
              <w:rPr>
                <w:rFonts w:eastAsia="Calibri" w:cs="Calibri"/>
                <w:sz w:val="20"/>
                <w:szCs w:val="20"/>
              </w:rPr>
            </w:pPr>
            <w:r w:rsidRPr="00F97397">
              <w:rPr>
                <w:b/>
                <w:bCs/>
                <w:sz w:val="20"/>
                <w:szCs w:val="20"/>
                <w:lang w:val="es-ES"/>
              </w:rPr>
              <w:t>Resolución horizontal</w:t>
            </w:r>
          </w:p>
        </w:tc>
        <w:tc>
          <w:tcPr>
            <w:tcW w:w="798"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7392D746" w14:textId="77777777" w:rsidR="00DC723B" w:rsidRPr="00F97397" w:rsidRDefault="00DC723B" w:rsidP="00D4732D">
            <w:pPr>
              <w:spacing w:before="60" w:after="60"/>
              <w:jc w:val="center"/>
              <w:rPr>
                <w:rFonts w:eastAsia="Calibri" w:cs="Calibri"/>
                <w:sz w:val="20"/>
                <w:szCs w:val="20"/>
              </w:rPr>
            </w:pPr>
            <w:r w:rsidRPr="00F97397">
              <w:rPr>
                <w:b/>
                <w:bCs/>
                <w:sz w:val="20"/>
                <w:szCs w:val="20"/>
                <w:lang w:val="es-ES"/>
              </w:rPr>
              <w:t>Resolución vertical</w:t>
            </w:r>
          </w:p>
        </w:tc>
        <w:tc>
          <w:tcPr>
            <w:tcW w:w="870"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63597C15" w14:textId="77777777" w:rsidR="00DC723B" w:rsidRPr="00F97397" w:rsidRDefault="00DC723B" w:rsidP="00D4732D">
            <w:pPr>
              <w:spacing w:before="60" w:after="60"/>
              <w:jc w:val="center"/>
              <w:rPr>
                <w:rFonts w:eastAsia="Calibri" w:cs="Calibri"/>
                <w:sz w:val="20"/>
                <w:szCs w:val="20"/>
              </w:rPr>
            </w:pPr>
            <w:r w:rsidRPr="00F97397">
              <w:rPr>
                <w:b/>
                <w:bCs/>
                <w:sz w:val="20"/>
                <w:szCs w:val="20"/>
                <w:lang w:val="es-ES"/>
              </w:rPr>
              <w:t>Ciclo de observación</w:t>
            </w:r>
          </w:p>
        </w:tc>
        <w:tc>
          <w:tcPr>
            <w:tcW w:w="652"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7AFA21F1" w14:textId="77777777" w:rsidR="00DC723B" w:rsidRPr="00F97397" w:rsidRDefault="00DC723B" w:rsidP="00D4732D">
            <w:pPr>
              <w:spacing w:before="60" w:after="60"/>
              <w:jc w:val="center"/>
              <w:rPr>
                <w:rFonts w:eastAsia="Calibri" w:cs="Calibri"/>
                <w:sz w:val="20"/>
                <w:szCs w:val="20"/>
              </w:rPr>
            </w:pPr>
            <w:r w:rsidRPr="00F97397">
              <w:rPr>
                <w:b/>
                <w:bCs/>
                <w:sz w:val="20"/>
                <w:szCs w:val="20"/>
                <w:lang w:val="es-ES"/>
              </w:rPr>
              <w:t>Variables</w:t>
            </w:r>
          </w:p>
        </w:tc>
        <w:tc>
          <w:tcPr>
            <w:tcW w:w="943"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68F52577" w14:textId="77777777" w:rsidR="00DC723B" w:rsidRPr="00F97397" w:rsidRDefault="00DC723B" w:rsidP="00D4732D">
            <w:pPr>
              <w:spacing w:before="60" w:after="60"/>
              <w:jc w:val="center"/>
              <w:rPr>
                <w:rFonts w:eastAsia="Calibri" w:cs="Calibri"/>
                <w:sz w:val="20"/>
                <w:szCs w:val="20"/>
              </w:rPr>
            </w:pPr>
            <w:r w:rsidRPr="00F97397">
              <w:rPr>
                <w:b/>
                <w:bCs/>
                <w:sz w:val="20"/>
                <w:szCs w:val="20"/>
                <w:lang w:val="es-ES"/>
              </w:rPr>
              <w:t>Otros requisitos</w:t>
            </w:r>
          </w:p>
        </w:tc>
      </w:tr>
      <w:tr w:rsidR="00DC723B" w:rsidRPr="00AE4BEE" w14:paraId="0B2690A2" w14:textId="77777777" w:rsidTr="00216024">
        <w:tc>
          <w:tcPr>
            <w:tcW w:w="938"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0760F185" w14:textId="0D032181" w:rsidR="00DC723B" w:rsidRPr="00F97397" w:rsidRDefault="00DC723B" w:rsidP="00D4732D">
            <w:pPr>
              <w:spacing w:before="60" w:after="60"/>
              <w:rPr>
                <w:rFonts w:eastAsia="Calibri" w:cs="Calibri"/>
                <w:sz w:val="20"/>
                <w:szCs w:val="20"/>
                <w:lang w:val="es-ES"/>
              </w:rPr>
            </w:pPr>
            <w:r w:rsidRPr="00F97397">
              <w:rPr>
                <w:b/>
                <w:bCs/>
                <w:sz w:val="20"/>
                <w:szCs w:val="20"/>
                <w:lang w:val="es-ES"/>
              </w:rPr>
              <w:t>Estaciones terrestres de</w:t>
            </w:r>
            <w:r w:rsidR="00CA7116" w:rsidRPr="00F97397">
              <w:rPr>
                <w:b/>
                <w:bCs/>
                <w:sz w:val="20"/>
                <w:szCs w:val="20"/>
                <w:lang w:val="es-ES"/>
              </w:rPr>
              <w:t xml:space="preserve"> observación en</w:t>
            </w:r>
            <w:r w:rsidRPr="00F97397">
              <w:rPr>
                <w:b/>
                <w:bCs/>
                <w:sz w:val="20"/>
                <w:szCs w:val="20"/>
                <w:lang w:val="es-ES"/>
              </w:rPr>
              <w:t xml:space="preserve"> superficie</w:t>
            </w:r>
          </w:p>
        </w:tc>
        <w:tc>
          <w:tcPr>
            <w:tcW w:w="799" w:type="pct"/>
            <w:tcBorders>
              <w:top w:val="single" w:sz="6" w:space="0" w:color="auto"/>
              <w:left w:val="single" w:sz="6" w:space="0" w:color="auto"/>
              <w:bottom w:val="single" w:sz="6" w:space="0" w:color="auto"/>
              <w:right w:val="single" w:sz="6" w:space="0" w:color="auto"/>
            </w:tcBorders>
            <w:vAlign w:val="center"/>
          </w:tcPr>
          <w:p w14:paraId="2D1E2A26" w14:textId="79D124FA" w:rsidR="00DC723B" w:rsidRPr="00F97397" w:rsidRDefault="00DC723B" w:rsidP="00D4732D">
            <w:pPr>
              <w:spacing w:before="60" w:after="60"/>
              <w:jc w:val="center"/>
              <w:rPr>
                <w:rFonts w:eastAsia="Calibri" w:cs="Calibri"/>
                <w:sz w:val="20"/>
                <w:szCs w:val="20"/>
              </w:rPr>
            </w:pPr>
            <w:r w:rsidRPr="00F97397">
              <w:rPr>
                <w:b/>
                <w:bCs/>
                <w:sz w:val="20"/>
                <w:szCs w:val="20"/>
                <w:lang w:val="es-ES"/>
              </w:rPr>
              <w:t>200 km</w:t>
            </w:r>
            <w:r w:rsidRPr="00F97397">
              <w:rPr>
                <w:sz w:val="20"/>
                <w:szCs w:val="20"/>
                <w:lang w:val="es-ES"/>
              </w:rPr>
              <w:t xml:space="preserve"> </w:t>
            </w:r>
            <w:r w:rsidR="00216024">
              <w:rPr>
                <w:sz w:val="20"/>
                <w:szCs w:val="20"/>
                <w:lang w:val="es-ES"/>
              </w:rPr>
              <w:br/>
            </w:r>
            <w:r w:rsidRPr="00F97397">
              <w:rPr>
                <w:sz w:val="20"/>
                <w:szCs w:val="20"/>
                <w:lang w:val="es-ES"/>
              </w:rPr>
              <w:t>100 km</w:t>
            </w:r>
            <w:r w:rsidR="00B51962" w:rsidRPr="00F97397">
              <w:rPr>
                <w:rStyle w:val="FootnoteReference"/>
                <w:rFonts w:eastAsia="Calibri" w:cs="Calibri"/>
                <w:sz w:val="20"/>
                <w:szCs w:val="20"/>
                <w:lang w:val="es-ES"/>
              </w:rPr>
              <w:footnoteReference w:id="1"/>
            </w:r>
            <w:bookmarkStart w:id="12" w:name="_Ref116654333"/>
            <w:bookmarkEnd w:id="12"/>
          </w:p>
        </w:tc>
        <w:tc>
          <w:tcPr>
            <w:tcW w:w="798" w:type="pct"/>
            <w:tcBorders>
              <w:top w:val="single" w:sz="6" w:space="0" w:color="auto"/>
              <w:left w:val="single" w:sz="6" w:space="0" w:color="auto"/>
              <w:bottom w:val="single" w:sz="6" w:space="0" w:color="auto"/>
              <w:right w:val="single" w:sz="6" w:space="0" w:color="auto"/>
            </w:tcBorders>
            <w:vAlign w:val="center"/>
          </w:tcPr>
          <w:p w14:paraId="7943BB6F" w14:textId="77777777" w:rsidR="00DC723B" w:rsidRPr="00F97397" w:rsidRDefault="00DC723B" w:rsidP="00D4732D">
            <w:pPr>
              <w:spacing w:before="60" w:after="60"/>
              <w:jc w:val="center"/>
              <w:rPr>
                <w:rFonts w:eastAsia="Calibri" w:cs="Calibri"/>
                <w:sz w:val="20"/>
                <w:szCs w:val="20"/>
              </w:rPr>
            </w:pPr>
            <w:r w:rsidRPr="00F97397">
              <w:rPr>
                <w:sz w:val="20"/>
                <w:szCs w:val="20"/>
                <w:lang w:val="es-ES"/>
              </w:rPr>
              <w:t>n/a</w:t>
            </w:r>
          </w:p>
        </w:tc>
        <w:tc>
          <w:tcPr>
            <w:tcW w:w="870" w:type="pct"/>
            <w:tcBorders>
              <w:top w:val="single" w:sz="6" w:space="0" w:color="auto"/>
              <w:left w:val="single" w:sz="6" w:space="0" w:color="auto"/>
              <w:bottom w:val="single" w:sz="6" w:space="0" w:color="auto"/>
              <w:right w:val="single" w:sz="6" w:space="0" w:color="auto"/>
            </w:tcBorders>
            <w:vAlign w:val="center"/>
          </w:tcPr>
          <w:p w14:paraId="367A840A" w14:textId="77777777" w:rsidR="00DC723B" w:rsidRPr="00F97397" w:rsidRDefault="00DC723B" w:rsidP="00D4732D">
            <w:pPr>
              <w:spacing w:before="60" w:after="60"/>
              <w:jc w:val="center"/>
              <w:rPr>
                <w:rFonts w:eastAsia="Calibri" w:cs="Calibri"/>
                <w:b/>
                <w:bCs/>
                <w:sz w:val="20"/>
                <w:szCs w:val="20"/>
              </w:rPr>
            </w:pPr>
            <w:r w:rsidRPr="00F97397">
              <w:rPr>
                <w:b/>
                <w:bCs/>
                <w:sz w:val="20"/>
                <w:szCs w:val="20"/>
                <w:lang w:val="es-ES"/>
              </w:rPr>
              <w:t>1 h</w:t>
            </w:r>
          </w:p>
        </w:tc>
        <w:tc>
          <w:tcPr>
            <w:tcW w:w="652" w:type="pct"/>
            <w:tcBorders>
              <w:top w:val="single" w:sz="6" w:space="0" w:color="auto"/>
              <w:left w:val="single" w:sz="6" w:space="0" w:color="auto"/>
              <w:bottom w:val="single" w:sz="6" w:space="0" w:color="auto"/>
              <w:right w:val="single" w:sz="6" w:space="0" w:color="auto"/>
            </w:tcBorders>
            <w:vAlign w:val="center"/>
          </w:tcPr>
          <w:p w14:paraId="15285112" w14:textId="77777777" w:rsidR="00DC723B" w:rsidRPr="00F97397" w:rsidRDefault="00DC723B" w:rsidP="00D4732D">
            <w:pPr>
              <w:spacing w:before="60" w:after="60"/>
              <w:jc w:val="center"/>
              <w:rPr>
                <w:rFonts w:eastAsia="Calibri" w:cs="Calibri"/>
                <w:b/>
                <w:bCs/>
                <w:sz w:val="20"/>
                <w:szCs w:val="20"/>
              </w:rPr>
            </w:pPr>
            <w:r w:rsidRPr="00F97397">
              <w:rPr>
                <w:b/>
                <w:bCs/>
                <w:sz w:val="20"/>
                <w:szCs w:val="20"/>
                <w:lang w:val="es-ES"/>
              </w:rPr>
              <w:t>SLP, T, H, W, P, SD</w:t>
            </w:r>
          </w:p>
        </w:tc>
        <w:tc>
          <w:tcPr>
            <w:tcW w:w="943" w:type="pct"/>
            <w:tcBorders>
              <w:top w:val="single" w:sz="6" w:space="0" w:color="auto"/>
              <w:left w:val="single" w:sz="6" w:space="0" w:color="auto"/>
              <w:bottom w:val="single" w:sz="6" w:space="0" w:color="auto"/>
              <w:right w:val="single" w:sz="6" w:space="0" w:color="auto"/>
            </w:tcBorders>
            <w:vAlign w:val="center"/>
          </w:tcPr>
          <w:p w14:paraId="46BAE66C" w14:textId="167B0D6A" w:rsidR="00DC723B" w:rsidRPr="00F97397" w:rsidRDefault="00DC723B" w:rsidP="00D4732D">
            <w:pPr>
              <w:spacing w:before="60" w:after="60"/>
              <w:jc w:val="center"/>
              <w:rPr>
                <w:rFonts w:eastAsia="Calibri" w:cs="Calibri"/>
                <w:b/>
                <w:bCs/>
                <w:sz w:val="20"/>
                <w:szCs w:val="20"/>
                <w:lang w:val="es-ES"/>
              </w:rPr>
            </w:pPr>
            <w:r w:rsidRPr="00F97397">
              <w:rPr>
                <w:b/>
                <w:bCs/>
                <w:sz w:val="20"/>
                <w:szCs w:val="20"/>
                <w:lang w:val="es-ES"/>
              </w:rPr>
              <w:t xml:space="preserve">Intercambio en tiempo real a través de </w:t>
            </w:r>
            <w:r w:rsidR="007859F6">
              <w:rPr>
                <w:b/>
                <w:bCs/>
                <w:sz w:val="20"/>
                <w:szCs w:val="20"/>
                <w:lang w:val="es-ES"/>
              </w:rPr>
              <w:t xml:space="preserve">la </w:t>
            </w:r>
            <w:r w:rsidR="007859F6" w:rsidRPr="007859F6">
              <w:rPr>
                <w:b/>
                <w:bCs/>
                <w:sz w:val="20"/>
                <w:szCs w:val="20"/>
                <w:lang w:val="es-ES"/>
              </w:rPr>
              <w:t xml:space="preserve">versión 2.0 del </w:t>
            </w:r>
            <w:r w:rsidR="007859F6">
              <w:rPr>
                <w:b/>
                <w:bCs/>
                <w:sz w:val="20"/>
                <w:szCs w:val="20"/>
                <w:lang w:val="es-ES"/>
              </w:rPr>
              <w:t>SIO</w:t>
            </w:r>
          </w:p>
        </w:tc>
      </w:tr>
      <w:tr w:rsidR="00DC723B" w:rsidRPr="00AE4BEE" w14:paraId="0BAD23CB" w14:textId="77777777" w:rsidTr="00216024">
        <w:trPr>
          <w:trHeight w:val="966"/>
        </w:trPr>
        <w:tc>
          <w:tcPr>
            <w:tcW w:w="938"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618750B2" w14:textId="77777777" w:rsidR="00DC723B" w:rsidRPr="00F97397" w:rsidRDefault="00DC723B" w:rsidP="00D4732D">
            <w:pPr>
              <w:spacing w:before="60" w:after="60"/>
              <w:rPr>
                <w:rFonts w:eastAsia="Calibri" w:cs="Calibri"/>
                <w:sz w:val="20"/>
                <w:szCs w:val="20"/>
                <w:lang w:val="es-ES"/>
              </w:rPr>
            </w:pPr>
            <w:r w:rsidRPr="00F97397">
              <w:rPr>
                <w:b/>
                <w:bCs/>
                <w:sz w:val="20"/>
                <w:szCs w:val="20"/>
                <w:lang w:val="es-ES"/>
              </w:rPr>
              <w:t>Estaciones terrestres de observación en altitud</w:t>
            </w:r>
          </w:p>
        </w:tc>
        <w:tc>
          <w:tcPr>
            <w:tcW w:w="799" w:type="pct"/>
            <w:tcBorders>
              <w:top w:val="single" w:sz="6" w:space="0" w:color="auto"/>
              <w:left w:val="single" w:sz="6" w:space="0" w:color="auto"/>
              <w:bottom w:val="single" w:sz="6" w:space="0" w:color="auto"/>
              <w:right w:val="single" w:sz="6" w:space="0" w:color="auto"/>
            </w:tcBorders>
            <w:vAlign w:val="center"/>
          </w:tcPr>
          <w:p w14:paraId="1F2F9F32" w14:textId="67847D4F" w:rsidR="00DC723B" w:rsidRPr="00F97397" w:rsidRDefault="00DC723B" w:rsidP="00D4732D">
            <w:pPr>
              <w:spacing w:before="60" w:after="60"/>
              <w:jc w:val="center"/>
              <w:rPr>
                <w:rFonts w:eastAsia="Calibri" w:cs="Calibri"/>
                <w:sz w:val="20"/>
                <w:szCs w:val="20"/>
              </w:rPr>
            </w:pPr>
            <w:r w:rsidRPr="00F97397">
              <w:rPr>
                <w:b/>
                <w:bCs/>
                <w:sz w:val="20"/>
                <w:szCs w:val="20"/>
                <w:lang w:val="es-ES"/>
              </w:rPr>
              <w:t>500 km</w:t>
            </w:r>
            <w:r w:rsidRPr="00F97397">
              <w:rPr>
                <w:sz w:val="20"/>
                <w:szCs w:val="20"/>
                <w:lang w:val="es-ES"/>
              </w:rPr>
              <w:t xml:space="preserve"> </w:t>
            </w:r>
            <w:r w:rsidR="00216024">
              <w:rPr>
                <w:sz w:val="20"/>
                <w:szCs w:val="20"/>
                <w:lang w:val="es-ES"/>
              </w:rPr>
              <w:br/>
            </w:r>
            <w:r w:rsidRPr="00F97397">
              <w:rPr>
                <w:sz w:val="20"/>
                <w:szCs w:val="20"/>
                <w:lang w:val="es-ES"/>
              </w:rPr>
              <w:t>200 km</w:t>
            </w:r>
            <w:r w:rsidRPr="00F97397">
              <w:rPr>
                <w:sz w:val="20"/>
                <w:szCs w:val="20"/>
                <w:vertAlign w:val="superscript"/>
                <w:lang w:val="es-ES"/>
              </w:rPr>
              <w:t>1</w:t>
            </w:r>
          </w:p>
        </w:tc>
        <w:tc>
          <w:tcPr>
            <w:tcW w:w="798" w:type="pct"/>
            <w:tcBorders>
              <w:top w:val="single" w:sz="6" w:space="0" w:color="auto"/>
              <w:left w:val="single" w:sz="6" w:space="0" w:color="auto"/>
              <w:bottom w:val="single" w:sz="6" w:space="0" w:color="auto"/>
              <w:right w:val="single" w:sz="6" w:space="0" w:color="auto"/>
            </w:tcBorders>
            <w:vAlign w:val="center"/>
          </w:tcPr>
          <w:p w14:paraId="00FB158A" w14:textId="4E6437D6" w:rsidR="00DC723B" w:rsidRPr="00F97397" w:rsidRDefault="00DC723B" w:rsidP="00D4732D">
            <w:pPr>
              <w:spacing w:before="60" w:after="60"/>
              <w:jc w:val="center"/>
              <w:rPr>
                <w:rFonts w:eastAsia="Calibri" w:cs="Calibri"/>
                <w:b/>
                <w:bCs/>
                <w:sz w:val="20"/>
                <w:szCs w:val="20"/>
              </w:rPr>
            </w:pPr>
            <w:r w:rsidRPr="00F97397">
              <w:rPr>
                <w:b/>
                <w:bCs/>
                <w:sz w:val="20"/>
                <w:szCs w:val="20"/>
                <w:lang w:val="es-ES"/>
              </w:rPr>
              <w:t>100 m</w:t>
            </w:r>
          </w:p>
        </w:tc>
        <w:tc>
          <w:tcPr>
            <w:tcW w:w="870" w:type="pct"/>
            <w:tcBorders>
              <w:top w:val="single" w:sz="6" w:space="0" w:color="auto"/>
              <w:left w:val="single" w:sz="6" w:space="0" w:color="auto"/>
              <w:bottom w:val="single" w:sz="6" w:space="0" w:color="auto"/>
              <w:right w:val="single" w:sz="6" w:space="0" w:color="auto"/>
            </w:tcBorders>
            <w:vAlign w:val="center"/>
          </w:tcPr>
          <w:p w14:paraId="3B75F07A" w14:textId="77777777" w:rsidR="00DC723B" w:rsidRPr="00F97397" w:rsidRDefault="00DC723B" w:rsidP="00D4732D">
            <w:pPr>
              <w:spacing w:before="60" w:after="60"/>
              <w:jc w:val="center"/>
              <w:rPr>
                <w:rFonts w:eastAsia="Calibri" w:cs="Calibri"/>
                <w:b/>
                <w:bCs/>
                <w:sz w:val="20"/>
                <w:szCs w:val="20"/>
              </w:rPr>
            </w:pPr>
            <w:r w:rsidRPr="00F97397">
              <w:rPr>
                <w:b/>
                <w:bCs/>
                <w:sz w:val="20"/>
                <w:szCs w:val="20"/>
                <w:lang w:val="es-ES"/>
              </w:rPr>
              <w:t>2/24 h</w:t>
            </w:r>
          </w:p>
        </w:tc>
        <w:tc>
          <w:tcPr>
            <w:tcW w:w="652" w:type="pct"/>
            <w:tcBorders>
              <w:top w:val="single" w:sz="6" w:space="0" w:color="auto"/>
              <w:left w:val="single" w:sz="6" w:space="0" w:color="auto"/>
              <w:bottom w:val="single" w:sz="6" w:space="0" w:color="auto"/>
              <w:right w:val="single" w:sz="6" w:space="0" w:color="auto"/>
            </w:tcBorders>
            <w:vAlign w:val="center"/>
          </w:tcPr>
          <w:p w14:paraId="36974BA5" w14:textId="77777777" w:rsidR="00DC723B" w:rsidRPr="00F97397" w:rsidRDefault="00DC723B" w:rsidP="00D4732D">
            <w:pPr>
              <w:spacing w:before="60" w:after="60"/>
              <w:jc w:val="center"/>
              <w:rPr>
                <w:rFonts w:eastAsia="Calibri" w:cs="Calibri"/>
                <w:b/>
                <w:bCs/>
                <w:sz w:val="20"/>
                <w:szCs w:val="20"/>
              </w:rPr>
            </w:pPr>
            <w:r w:rsidRPr="00F97397">
              <w:rPr>
                <w:b/>
                <w:bCs/>
                <w:sz w:val="20"/>
                <w:szCs w:val="20"/>
                <w:lang w:val="es-ES"/>
              </w:rPr>
              <w:t>T, H, W</w:t>
            </w:r>
          </w:p>
        </w:tc>
        <w:tc>
          <w:tcPr>
            <w:tcW w:w="943" w:type="pct"/>
            <w:tcBorders>
              <w:top w:val="single" w:sz="6" w:space="0" w:color="auto"/>
              <w:left w:val="single" w:sz="6" w:space="0" w:color="auto"/>
              <w:bottom w:val="single" w:sz="6" w:space="0" w:color="auto"/>
              <w:right w:val="single" w:sz="6" w:space="0" w:color="auto"/>
            </w:tcBorders>
            <w:vAlign w:val="center"/>
          </w:tcPr>
          <w:p w14:paraId="653DB748" w14:textId="526FCFBB" w:rsidR="00DC723B" w:rsidRPr="00F97397" w:rsidRDefault="00DC723B" w:rsidP="00D4732D">
            <w:pPr>
              <w:spacing w:before="60" w:after="60"/>
              <w:jc w:val="center"/>
              <w:rPr>
                <w:rFonts w:eastAsia="Calibri" w:cs="Calibri"/>
                <w:b/>
                <w:bCs/>
                <w:sz w:val="20"/>
                <w:szCs w:val="20"/>
                <w:lang w:val="es-ES"/>
              </w:rPr>
            </w:pPr>
            <w:r w:rsidRPr="00F97397">
              <w:rPr>
                <w:b/>
                <w:bCs/>
                <w:sz w:val="20"/>
                <w:szCs w:val="20"/>
                <w:lang w:val="es-ES"/>
              </w:rPr>
              <w:t xml:space="preserve">Hasta 30 hPa. Intercambio en tiempo real a través de </w:t>
            </w:r>
            <w:r w:rsidR="007859F6" w:rsidRPr="007859F6">
              <w:rPr>
                <w:b/>
                <w:bCs/>
                <w:sz w:val="20"/>
                <w:szCs w:val="20"/>
                <w:lang w:val="es-ES"/>
              </w:rPr>
              <w:t>la versión 2.0 del SIO</w:t>
            </w:r>
          </w:p>
        </w:tc>
      </w:tr>
      <w:tr w:rsidR="00DC723B" w:rsidRPr="00AE4BEE" w14:paraId="561FA467" w14:textId="77777777" w:rsidTr="00216024">
        <w:trPr>
          <w:trHeight w:val="687"/>
        </w:trPr>
        <w:tc>
          <w:tcPr>
            <w:tcW w:w="938"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0C42E609" w14:textId="77777777" w:rsidR="00DC723B" w:rsidRPr="00F97397" w:rsidRDefault="00DC723B" w:rsidP="00216024">
            <w:pPr>
              <w:keepNext/>
              <w:spacing w:before="60" w:after="60"/>
              <w:rPr>
                <w:rFonts w:eastAsia="Calibri" w:cs="Calibri"/>
                <w:sz w:val="20"/>
                <w:szCs w:val="20"/>
                <w:lang w:val="es-ES"/>
              </w:rPr>
            </w:pPr>
            <w:r w:rsidRPr="00F97397">
              <w:rPr>
                <w:b/>
                <w:bCs/>
                <w:sz w:val="20"/>
                <w:szCs w:val="20"/>
                <w:lang w:val="es-ES"/>
              </w:rPr>
              <w:lastRenderedPageBreak/>
              <w:t>Subconjunto de estaciones de observación en altitud</w:t>
            </w:r>
          </w:p>
        </w:tc>
        <w:tc>
          <w:tcPr>
            <w:tcW w:w="799" w:type="pct"/>
            <w:tcBorders>
              <w:top w:val="single" w:sz="6" w:space="0" w:color="auto"/>
              <w:left w:val="single" w:sz="6" w:space="0" w:color="auto"/>
              <w:bottom w:val="single" w:sz="6" w:space="0" w:color="auto"/>
              <w:right w:val="single" w:sz="6" w:space="0" w:color="auto"/>
            </w:tcBorders>
            <w:vAlign w:val="center"/>
          </w:tcPr>
          <w:p w14:paraId="7D7F9F16" w14:textId="60C82E84" w:rsidR="00DC723B" w:rsidRPr="00F97397" w:rsidRDefault="00DC723B" w:rsidP="00216024">
            <w:pPr>
              <w:keepNext/>
              <w:spacing w:before="60" w:after="60"/>
              <w:jc w:val="center"/>
              <w:rPr>
                <w:rFonts w:eastAsia="Calibri" w:cs="Calibri"/>
                <w:sz w:val="20"/>
                <w:szCs w:val="20"/>
              </w:rPr>
            </w:pPr>
            <w:r w:rsidRPr="00F97397">
              <w:rPr>
                <w:sz w:val="20"/>
                <w:szCs w:val="20"/>
                <w:lang w:val="es-ES"/>
              </w:rPr>
              <w:t>1</w:t>
            </w:r>
            <w:r w:rsidR="00216024">
              <w:rPr>
                <w:sz w:val="20"/>
                <w:szCs w:val="20"/>
                <w:lang w:val="es-ES"/>
              </w:rPr>
              <w:t xml:space="preserve"> </w:t>
            </w:r>
            <w:r w:rsidRPr="00F97397">
              <w:rPr>
                <w:sz w:val="20"/>
                <w:szCs w:val="20"/>
                <w:lang w:val="es-ES"/>
              </w:rPr>
              <w:t>000 km</w:t>
            </w:r>
            <w:r w:rsidR="0071777A" w:rsidRPr="00F97397">
              <w:rPr>
                <w:rStyle w:val="FootnoteReference"/>
                <w:rFonts w:eastAsia="Calibri" w:cs="Calibri"/>
                <w:sz w:val="20"/>
                <w:szCs w:val="20"/>
                <w:lang w:val="es-ES"/>
              </w:rPr>
              <w:footnoteReference w:id="2"/>
            </w:r>
          </w:p>
        </w:tc>
        <w:tc>
          <w:tcPr>
            <w:tcW w:w="798" w:type="pct"/>
            <w:tcBorders>
              <w:top w:val="single" w:sz="6" w:space="0" w:color="auto"/>
              <w:left w:val="single" w:sz="6" w:space="0" w:color="auto"/>
              <w:bottom w:val="single" w:sz="6" w:space="0" w:color="auto"/>
              <w:right w:val="single" w:sz="6" w:space="0" w:color="auto"/>
            </w:tcBorders>
            <w:vAlign w:val="center"/>
          </w:tcPr>
          <w:p w14:paraId="24071B8F" w14:textId="7EF26254" w:rsidR="00DC723B" w:rsidRPr="00F97397" w:rsidRDefault="00DC723B" w:rsidP="00216024">
            <w:pPr>
              <w:keepNext/>
              <w:spacing w:before="60" w:after="60"/>
              <w:jc w:val="center"/>
              <w:rPr>
                <w:rFonts w:eastAsia="Calibri" w:cs="Calibri"/>
                <w:sz w:val="20"/>
                <w:szCs w:val="20"/>
              </w:rPr>
            </w:pPr>
            <w:r w:rsidRPr="00F97397">
              <w:rPr>
                <w:sz w:val="20"/>
                <w:szCs w:val="20"/>
                <w:lang w:val="es-ES"/>
              </w:rPr>
              <w:t>100 m</w:t>
            </w:r>
          </w:p>
        </w:tc>
        <w:tc>
          <w:tcPr>
            <w:tcW w:w="870" w:type="pct"/>
            <w:tcBorders>
              <w:top w:val="single" w:sz="6" w:space="0" w:color="auto"/>
              <w:left w:val="single" w:sz="6" w:space="0" w:color="auto"/>
              <w:bottom w:val="single" w:sz="6" w:space="0" w:color="auto"/>
              <w:right w:val="single" w:sz="6" w:space="0" w:color="auto"/>
            </w:tcBorders>
            <w:vAlign w:val="center"/>
          </w:tcPr>
          <w:p w14:paraId="3FB90D7F" w14:textId="77777777" w:rsidR="00DC723B" w:rsidRPr="00F97397" w:rsidRDefault="00DC723B" w:rsidP="00216024">
            <w:pPr>
              <w:keepNext/>
              <w:spacing w:before="60" w:after="60"/>
              <w:jc w:val="center"/>
              <w:rPr>
                <w:rFonts w:eastAsia="Calibri" w:cs="Calibri"/>
                <w:sz w:val="20"/>
                <w:szCs w:val="20"/>
              </w:rPr>
            </w:pPr>
            <w:r w:rsidRPr="00F97397">
              <w:rPr>
                <w:sz w:val="20"/>
                <w:szCs w:val="20"/>
                <w:lang w:val="es-ES"/>
              </w:rPr>
              <w:t>24 h</w:t>
            </w:r>
          </w:p>
        </w:tc>
        <w:tc>
          <w:tcPr>
            <w:tcW w:w="652" w:type="pct"/>
            <w:tcBorders>
              <w:top w:val="single" w:sz="6" w:space="0" w:color="auto"/>
              <w:left w:val="single" w:sz="6" w:space="0" w:color="auto"/>
              <w:bottom w:val="single" w:sz="6" w:space="0" w:color="auto"/>
              <w:right w:val="single" w:sz="6" w:space="0" w:color="auto"/>
            </w:tcBorders>
            <w:vAlign w:val="center"/>
          </w:tcPr>
          <w:p w14:paraId="3947A517" w14:textId="77777777" w:rsidR="00DC723B" w:rsidRPr="00F97397" w:rsidRDefault="00DC723B" w:rsidP="00216024">
            <w:pPr>
              <w:keepNext/>
              <w:spacing w:before="60" w:after="60"/>
              <w:jc w:val="center"/>
              <w:rPr>
                <w:rFonts w:eastAsia="Calibri" w:cs="Calibri"/>
                <w:sz w:val="20"/>
                <w:szCs w:val="20"/>
              </w:rPr>
            </w:pPr>
            <w:r w:rsidRPr="00F97397">
              <w:rPr>
                <w:sz w:val="20"/>
                <w:szCs w:val="20"/>
                <w:lang w:val="es-ES"/>
              </w:rPr>
              <w:t>T, H, W</w:t>
            </w:r>
          </w:p>
        </w:tc>
        <w:tc>
          <w:tcPr>
            <w:tcW w:w="943" w:type="pct"/>
            <w:tcBorders>
              <w:top w:val="single" w:sz="6" w:space="0" w:color="auto"/>
              <w:left w:val="single" w:sz="6" w:space="0" w:color="auto"/>
              <w:bottom w:val="single" w:sz="6" w:space="0" w:color="auto"/>
              <w:right w:val="single" w:sz="6" w:space="0" w:color="auto"/>
            </w:tcBorders>
            <w:vAlign w:val="center"/>
          </w:tcPr>
          <w:p w14:paraId="0C954909" w14:textId="1E2C4682" w:rsidR="00DC723B" w:rsidRPr="00F97397" w:rsidRDefault="00DC723B" w:rsidP="00216024">
            <w:pPr>
              <w:keepNext/>
              <w:spacing w:before="60" w:after="60"/>
              <w:jc w:val="center"/>
              <w:rPr>
                <w:rFonts w:eastAsia="Calibri" w:cs="Calibri"/>
                <w:sz w:val="20"/>
                <w:szCs w:val="20"/>
                <w:lang w:val="es-ES"/>
              </w:rPr>
            </w:pPr>
            <w:r w:rsidRPr="00F97397">
              <w:rPr>
                <w:sz w:val="20"/>
                <w:szCs w:val="20"/>
                <w:lang w:val="es-ES"/>
              </w:rPr>
              <w:t xml:space="preserve">Hasta 30 hPa. Intercambio en tiempo real a través de </w:t>
            </w:r>
            <w:r w:rsidR="007859F6" w:rsidRPr="007859F6">
              <w:rPr>
                <w:sz w:val="20"/>
                <w:szCs w:val="20"/>
                <w:lang w:val="es-ES"/>
              </w:rPr>
              <w:t>la versión 2.0 del SIO</w:t>
            </w:r>
          </w:p>
        </w:tc>
      </w:tr>
      <w:tr w:rsidR="00DC723B" w:rsidRPr="00AE4BEE" w14:paraId="12D2FF06" w14:textId="77777777" w:rsidTr="00216024">
        <w:tc>
          <w:tcPr>
            <w:tcW w:w="938"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16F2DDDC" w14:textId="77777777" w:rsidR="00DC723B" w:rsidRPr="00F97397" w:rsidRDefault="00DC723B" w:rsidP="00D4732D">
            <w:pPr>
              <w:spacing w:before="60" w:after="60"/>
              <w:rPr>
                <w:rFonts w:eastAsia="Calibri" w:cs="Calibri"/>
                <w:sz w:val="20"/>
                <w:szCs w:val="20"/>
                <w:lang w:val="es-ES"/>
              </w:rPr>
            </w:pPr>
            <w:r w:rsidRPr="00F97397">
              <w:rPr>
                <w:b/>
                <w:bCs/>
                <w:sz w:val="20"/>
                <w:szCs w:val="20"/>
                <w:lang w:val="es-ES"/>
              </w:rPr>
              <w:t>Estaciones de observación marina en superficie en zonas económicas exclusivas</w:t>
            </w:r>
          </w:p>
        </w:tc>
        <w:tc>
          <w:tcPr>
            <w:tcW w:w="799" w:type="pct"/>
            <w:tcBorders>
              <w:top w:val="single" w:sz="6" w:space="0" w:color="auto"/>
              <w:left w:val="single" w:sz="6" w:space="0" w:color="auto"/>
              <w:bottom w:val="single" w:sz="6" w:space="0" w:color="auto"/>
              <w:right w:val="single" w:sz="6" w:space="0" w:color="auto"/>
            </w:tcBorders>
            <w:vAlign w:val="center"/>
          </w:tcPr>
          <w:p w14:paraId="7E35FD9C" w14:textId="15CAB3B9" w:rsidR="00DC723B" w:rsidRPr="00F97397" w:rsidRDefault="00DC723B" w:rsidP="00D4732D">
            <w:pPr>
              <w:spacing w:before="60" w:after="60"/>
              <w:jc w:val="center"/>
              <w:rPr>
                <w:rFonts w:eastAsia="Calibri" w:cs="Calibri"/>
                <w:b/>
                <w:bCs/>
                <w:sz w:val="20"/>
                <w:szCs w:val="20"/>
              </w:rPr>
            </w:pPr>
            <w:r w:rsidRPr="00F97397">
              <w:rPr>
                <w:b/>
                <w:bCs/>
                <w:sz w:val="20"/>
                <w:szCs w:val="20"/>
                <w:lang w:val="es-ES"/>
              </w:rPr>
              <w:t>500 km</w:t>
            </w:r>
          </w:p>
        </w:tc>
        <w:tc>
          <w:tcPr>
            <w:tcW w:w="798" w:type="pct"/>
            <w:tcBorders>
              <w:top w:val="single" w:sz="6" w:space="0" w:color="auto"/>
              <w:left w:val="single" w:sz="6" w:space="0" w:color="auto"/>
              <w:bottom w:val="single" w:sz="6" w:space="0" w:color="auto"/>
              <w:right w:val="single" w:sz="6" w:space="0" w:color="auto"/>
            </w:tcBorders>
            <w:vAlign w:val="center"/>
          </w:tcPr>
          <w:p w14:paraId="784F4ED1" w14:textId="77777777" w:rsidR="00DC723B" w:rsidRPr="00F97397" w:rsidRDefault="00DC723B" w:rsidP="00D4732D">
            <w:pPr>
              <w:spacing w:before="60" w:after="60"/>
              <w:jc w:val="center"/>
              <w:rPr>
                <w:rFonts w:eastAsia="Calibri" w:cs="Calibri"/>
                <w:sz w:val="20"/>
                <w:szCs w:val="20"/>
              </w:rPr>
            </w:pPr>
            <w:r w:rsidRPr="00F97397">
              <w:rPr>
                <w:sz w:val="20"/>
                <w:szCs w:val="20"/>
                <w:lang w:val="es-ES"/>
              </w:rPr>
              <w:t>n/a</w:t>
            </w:r>
          </w:p>
        </w:tc>
        <w:tc>
          <w:tcPr>
            <w:tcW w:w="870" w:type="pct"/>
            <w:tcBorders>
              <w:top w:val="single" w:sz="6" w:space="0" w:color="auto"/>
              <w:left w:val="single" w:sz="6" w:space="0" w:color="auto"/>
              <w:bottom w:val="single" w:sz="6" w:space="0" w:color="auto"/>
              <w:right w:val="single" w:sz="6" w:space="0" w:color="auto"/>
            </w:tcBorders>
            <w:vAlign w:val="center"/>
          </w:tcPr>
          <w:p w14:paraId="158F9F97" w14:textId="77777777" w:rsidR="00DC723B" w:rsidRPr="00F97397" w:rsidRDefault="00DC723B" w:rsidP="00D4732D">
            <w:pPr>
              <w:spacing w:before="60" w:after="60"/>
              <w:jc w:val="center"/>
              <w:rPr>
                <w:rFonts w:eastAsia="Calibri" w:cs="Calibri"/>
                <w:b/>
                <w:bCs/>
                <w:sz w:val="20"/>
                <w:szCs w:val="20"/>
              </w:rPr>
            </w:pPr>
            <w:r w:rsidRPr="00F97397">
              <w:rPr>
                <w:b/>
                <w:bCs/>
                <w:sz w:val="20"/>
                <w:szCs w:val="20"/>
                <w:lang w:val="es-ES"/>
              </w:rPr>
              <w:t>1 h</w:t>
            </w:r>
          </w:p>
        </w:tc>
        <w:tc>
          <w:tcPr>
            <w:tcW w:w="652" w:type="pct"/>
            <w:tcBorders>
              <w:top w:val="single" w:sz="6" w:space="0" w:color="auto"/>
              <w:left w:val="single" w:sz="6" w:space="0" w:color="auto"/>
              <w:bottom w:val="single" w:sz="6" w:space="0" w:color="auto"/>
              <w:right w:val="single" w:sz="6" w:space="0" w:color="auto"/>
            </w:tcBorders>
            <w:vAlign w:val="center"/>
          </w:tcPr>
          <w:p w14:paraId="41EA1A7A" w14:textId="77777777" w:rsidR="00DC723B" w:rsidRPr="00F97397" w:rsidRDefault="00DC723B" w:rsidP="00D4732D">
            <w:pPr>
              <w:spacing w:before="60" w:after="60"/>
              <w:jc w:val="center"/>
              <w:rPr>
                <w:rFonts w:eastAsia="Calibri" w:cs="Calibri"/>
                <w:b/>
                <w:bCs/>
                <w:sz w:val="20"/>
                <w:szCs w:val="20"/>
              </w:rPr>
            </w:pPr>
            <w:r w:rsidRPr="00F97397">
              <w:rPr>
                <w:b/>
                <w:bCs/>
                <w:sz w:val="20"/>
                <w:szCs w:val="20"/>
                <w:lang w:val="es-ES"/>
              </w:rPr>
              <w:t>SLP, SST</w:t>
            </w:r>
          </w:p>
        </w:tc>
        <w:tc>
          <w:tcPr>
            <w:tcW w:w="943" w:type="pct"/>
            <w:tcBorders>
              <w:top w:val="single" w:sz="6" w:space="0" w:color="auto"/>
              <w:left w:val="single" w:sz="6" w:space="0" w:color="auto"/>
              <w:bottom w:val="single" w:sz="6" w:space="0" w:color="auto"/>
              <w:right w:val="single" w:sz="6" w:space="0" w:color="auto"/>
            </w:tcBorders>
            <w:vAlign w:val="center"/>
          </w:tcPr>
          <w:p w14:paraId="4D06A41E" w14:textId="6AC54D9C" w:rsidR="00DC723B" w:rsidRPr="00F97397" w:rsidRDefault="00DC723B" w:rsidP="00D4732D">
            <w:pPr>
              <w:spacing w:before="60" w:after="60"/>
              <w:jc w:val="center"/>
              <w:rPr>
                <w:rFonts w:eastAsia="Calibri" w:cs="Calibri"/>
                <w:b/>
                <w:bCs/>
                <w:sz w:val="20"/>
                <w:szCs w:val="20"/>
                <w:lang w:val="es-ES"/>
              </w:rPr>
            </w:pPr>
            <w:r w:rsidRPr="00F97397">
              <w:rPr>
                <w:b/>
                <w:bCs/>
                <w:sz w:val="20"/>
                <w:szCs w:val="20"/>
                <w:lang w:val="es-ES"/>
              </w:rPr>
              <w:t xml:space="preserve">Intercambio en tiempo real a través de </w:t>
            </w:r>
            <w:r w:rsidR="007859F6" w:rsidRPr="007859F6">
              <w:rPr>
                <w:b/>
                <w:bCs/>
                <w:sz w:val="20"/>
                <w:szCs w:val="20"/>
                <w:lang w:val="es-ES"/>
              </w:rPr>
              <w:t>la versión</w:t>
            </w:r>
            <w:r w:rsidR="00216024">
              <w:rPr>
                <w:b/>
                <w:bCs/>
                <w:sz w:val="20"/>
                <w:szCs w:val="20"/>
                <w:lang w:val="es-ES"/>
              </w:rPr>
              <w:t> </w:t>
            </w:r>
            <w:r w:rsidR="007859F6" w:rsidRPr="007859F6">
              <w:rPr>
                <w:b/>
                <w:bCs/>
                <w:sz w:val="20"/>
                <w:szCs w:val="20"/>
                <w:lang w:val="es-ES"/>
              </w:rPr>
              <w:t>2.0 del SIO</w:t>
            </w:r>
          </w:p>
        </w:tc>
      </w:tr>
      <w:tr w:rsidR="00DC723B" w:rsidRPr="00AE4BEE" w14:paraId="25B125F6" w14:textId="77777777" w:rsidTr="00216024">
        <w:tc>
          <w:tcPr>
            <w:tcW w:w="938"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438E40C7" w14:textId="77777777" w:rsidR="00DC723B" w:rsidRPr="00F97397" w:rsidRDefault="00DC723B" w:rsidP="00D4732D">
            <w:pPr>
              <w:spacing w:before="60" w:after="60"/>
              <w:rPr>
                <w:rFonts w:eastAsia="Calibri" w:cs="Calibri"/>
                <w:sz w:val="20"/>
                <w:szCs w:val="20"/>
                <w:lang w:val="es-ES"/>
              </w:rPr>
            </w:pPr>
            <w:r w:rsidRPr="00F97397">
              <w:rPr>
                <w:b/>
                <w:bCs/>
                <w:sz w:val="20"/>
                <w:szCs w:val="20"/>
                <w:lang w:val="es-ES"/>
              </w:rPr>
              <w:t>Estaciones de observación en altitud en zonas económicas exclusivas</w:t>
            </w:r>
          </w:p>
        </w:tc>
        <w:tc>
          <w:tcPr>
            <w:tcW w:w="799" w:type="pct"/>
            <w:tcBorders>
              <w:top w:val="single" w:sz="6" w:space="0" w:color="auto"/>
              <w:left w:val="single" w:sz="6" w:space="0" w:color="auto"/>
              <w:bottom w:val="single" w:sz="6" w:space="0" w:color="auto"/>
              <w:right w:val="single" w:sz="6" w:space="0" w:color="auto"/>
            </w:tcBorders>
            <w:vAlign w:val="center"/>
          </w:tcPr>
          <w:p w14:paraId="4357E397" w14:textId="2E3F4425" w:rsidR="00DC723B" w:rsidRPr="00F97397" w:rsidRDefault="00DC723B" w:rsidP="00D4732D">
            <w:pPr>
              <w:spacing w:before="60" w:after="60"/>
              <w:jc w:val="center"/>
              <w:rPr>
                <w:rFonts w:eastAsia="Calibri" w:cs="Calibri"/>
                <w:b/>
                <w:bCs/>
                <w:sz w:val="20"/>
                <w:szCs w:val="20"/>
              </w:rPr>
            </w:pPr>
            <w:r w:rsidRPr="00F97397">
              <w:rPr>
                <w:b/>
                <w:bCs/>
                <w:sz w:val="20"/>
                <w:szCs w:val="20"/>
                <w:lang w:val="es-ES"/>
              </w:rPr>
              <w:t>1</w:t>
            </w:r>
            <w:r w:rsidR="00216024">
              <w:rPr>
                <w:b/>
                <w:bCs/>
                <w:sz w:val="20"/>
                <w:szCs w:val="20"/>
                <w:lang w:val="es-ES"/>
              </w:rPr>
              <w:t xml:space="preserve"> </w:t>
            </w:r>
            <w:r w:rsidRPr="00F97397">
              <w:rPr>
                <w:b/>
                <w:bCs/>
                <w:sz w:val="20"/>
                <w:szCs w:val="20"/>
                <w:lang w:val="es-ES"/>
              </w:rPr>
              <w:t>000 km</w:t>
            </w:r>
          </w:p>
        </w:tc>
        <w:tc>
          <w:tcPr>
            <w:tcW w:w="798" w:type="pct"/>
            <w:tcBorders>
              <w:top w:val="single" w:sz="6" w:space="0" w:color="auto"/>
              <w:left w:val="single" w:sz="6" w:space="0" w:color="auto"/>
              <w:bottom w:val="single" w:sz="6" w:space="0" w:color="auto"/>
              <w:right w:val="single" w:sz="6" w:space="0" w:color="auto"/>
            </w:tcBorders>
            <w:vAlign w:val="center"/>
          </w:tcPr>
          <w:p w14:paraId="1DC2F4C5" w14:textId="70BB7A9B" w:rsidR="00DC723B" w:rsidRPr="00F97397" w:rsidRDefault="00DC723B" w:rsidP="00D4732D">
            <w:pPr>
              <w:spacing w:before="60" w:after="60"/>
              <w:jc w:val="center"/>
              <w:rPr>
                <w:rFonts w:eastAsia="Calibri" w:cs="Calibri"/>
                <w:b/>
                <w:bCs/>
                <w:sz w:val="20"/>
                <w:szCs w:val="20"/>
              </w:rPr>
            </w:pPr>
            <w:r w:rsidRPr="00F97397">
              <w:rPr>
                <w:b/>
                <w:bCs/>
                <w:sz w:val="20"/>
                <w:szCs w:val="20"/>
                <w:lang w:val="es-ES"/>
              </w:rPr>
              <w:t>100 m</w:t>
            </w:r>
          </w:p>
        </w:tc>
        <w:tc>
          <w:tcPr>
            <w:tcW w:w="870" w:type="pct"/>
            <w:tcBorders>
              <w:top w:val="single" w:sz="6" w:space="0" w:color="auto"/>
              <w:left w:val="single" w:sz="6" w:space="0" w:color="auto"/>
              <w:bottom w:val="single" w:sz="6" w:space="0" w:color="auto"/>
              <w:right w:val="single" w:sz="6" w:space="0" w:color="auto"/>
            </w:tcBorders>
            <w:vAlign w:val="center"/>
          </w:tcPr>
          <w:p w14:paraId="1769B127" w14:textId="69C67161" w:rsidR="00DC723B" w:rsidRPr="00F97397" w:rsidRDefault="00DC723B" w:rsidP="00D4732D">
            <w:pPr>
              <w:spacing w:before="60" w:after="60"/>
              <w:jc w:val="center"/>
              <w:rPr>
                <w:rFonts w:eastAsia="Calibri" w:cs="Calibri"/>
                <w:b/>
                <w:bCs/>
                <w:sz w:val="20"/>
                <w:szCs w:val="20"/>
              </w:rPr>
            </w:pPr>
            <w:r w:rsidRPr="00F97397">
              <w:rPr>
                <w:b/>
                <w:bCs/>
                <w:sz w:val="20"/>
                <w:szCs w:val="20"/>
                <w:lang w:val="es-ES"/>
              </w:rPr>
              <w:t>2/24 h</w:t>
            </w:r>
          </w:p>
        </w:tc>
        <w:tc>
          <w:tcPr>
            <w:tcW w:w="652" w:type="pct"/>
            <w:tcBorders>
              <w:top w:val="single" w:sz="6" w:space="0" w:color="auto"/>
              <w:left w:val="single" w:sz="6" w:space="0" w:color="auto"/>
              <w:bottom w:val="single" w:sz="6" w:space="0" w:color="auto"/>
              <w:right w:val="single" w:sz="6" w:space="0" w:color="auto"/>
            </w:tcBorders>
            <w:vAlign w:val="center"/>
          </w:tcPr>
          <w:p w14:paraId="4CBDDC64" w14:textId="77777777" w:rsidR="00DC723B" w:rsidRPr="00F97397" w:rsidRDefault="00DC723B" w:rsidP="00D4732D">
            <w:pPr>
              <w:spacing w:before="60" w:after="60"/>
              <w:jc w:val="center"/>
              <w:rPr>
                <w:rFonts w:eastAsia="Calibri" w:cs="Calibri"/>
                <w:b/>
                <w:bCs/>
                <w:sz w:val="20"/>
                <w:szCs w:val="20"/>
              </w:rPr>
            </w:pPr>
            <w:r w:rsidRPr="00F97397">
              <w:rPr>
                <w:b/>
                <w:bCs/>
                <w:sz w:val="20"/>
                <w:szCs w:val="20"/>
                <w:lang w:val="es-ES"/>
              </w:rPr>
              <w:t>T, H, W</w:t>
            </w:r>
          </w:p>
        </w:tc>
        <w:tc>
          <w:tcPr>
            <w:tcW w:w="943" w:type="pct"/>
            <w:tcBorders>
              <w:top w:val="single" w:sz="6" w:space="0" w:color="auto"/>
              <w:left w:val="single" w:sz="6" w:space="0" w:color="auto"/>
              <w:bottom w:val="single" w:sz="6" w:space="0" w:color="auto"/>
              <w:right w:val="single" w:sz="6" w:space="0" w:color="auto"/>
            </w:tcBorders>
            <w:vAlign w:val="center"/>
          </w:tcPr>
          <w:p w14:paraId="2ABCBD26" w14:textId="6D4B6953" w:rsidR="00DC723B" w:rsidRPr="00F97397" w:rsidRDefault="00DC723B" w:rsidP="00D4732D">
            <w:pPr>
              <w:spacing w:before="60" w:after="60"/>
              <w:jc w:val="center"/>
              <w:rPr>
                <w:rFonts w:eastAsia="Calibri" w:cs="Calibri"/>
                <w:b/>
                <w:bCs/>
                <w:sz w:val="20"/>
                <w:szCs w:val="20"/>
                <w:lang w:val="es-ES"/>
              </w:rPr>
            </w:pPr>
            <w:r w:rsidRPr="00F97397">
              <w:rPr>
                <w:b/>
                <w:bCs/>
                <w:sz w:val="20"/>
                <w:szCs w:val="20"/>
                <w:lang w:val="es-ES"/>
              </w:rPr>
              <w:t xml:space="preserve">Hasta 30 hPa. Intercambio en tiempo real a través de </w:t>
            </w:r>
            <w:r w:rsidR="007859F6" w:rsidRPr="007859F6">
              <w:rPr>
                <w:b/>
                <w:bCs/>
                <w:sz w:val="20"/>
                <w:szCs w:val="20"/>
                <w:lang w:val="es-ES"/>
              </w:rPr>
              <w:t>la versión</w:t>
            </w:r>
            <w:r w:rsidR="00216024">
              <w:rPr>
                <w:b/>
                <w:bCs/>
                <w:sz w:val="20"/>
                <w:szCs w:val="20"/>
                <w:lang w:val="es-ES"/>
              </w:rPr>
              <w:t> </w:t>
            </w:r>
            <w:r w:rsidR="007859F6" w:rsidRPr="007859F6">
              <w:rPr>
                <w:b/>
                <w:bCs/>
                <w:sz w:val="20"/>
                <w:szCs w:val="20"/>
                <w:lang w:val="es-ES"/>
              </w:rPr>
              <w:t>2.0 del SIO</w:t>
            </w:r>
          </w:p>
        </w:tc>
      </w:tr>
      <w:tr w:rsidR="00DC723B" w:rsidRPr="00AE4BEE" w14:paraId="24B1FBC1" w14:textId="77777777" w:rsidTr="00216024">
        <w:tc>
          <w:tcPr>
            <w:tcW w:w="938"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180A08F7" w14:textId="77777777" w:rsidR="00DC723B" w:rsidRPr="00F97397" w:rsidRDefault="00DC723B" w:rsidP="00D4732D">
            <w:pPr>
              <w:spacing w:before="60" w:after="60"/>
              <w:rPr>
                <w:rFonts w:eastAsia="Calibri" w:cs="Calibri"/>
                <w:sz w:val="20"/>
                <w:szCs w:val="20"/>
              </w:rPr>
            </w:pPr>
            <w:r w:rsidRPr="00F97397">
              <w:rPr>
                <w:b/>
                <w:bCs/>
                <w:sz w:val="20"/>
                <w:szCs w:val="20"/>
                <w:lang w:val="es-ES"/>
              </w:rPr>
              <w:t>Datos de aeronaves</w:t>
            </w:r>
          </w:p>
        </w:tc>
        <w:tc>
          <w:tcPr>
            <w:tcW w:w="799" w:type="pct"/>
            <w:tcBorders>
              <w:top w:val="single" w:sz="6" w:space="0" w:color="auto"/>
              <w:left w:val="single" w:sz="6" w:space="0" w:color="auto"/>
              <w:bottom w:val="single" w:sz="6" w:space="0" w:color="auto"/>
              <w:right w:val="single" w:sz="6" w:space="0" w:color="auto"/>
            </w:tcBorders>
            <w:vAlign w:val="center"/>
          </w:tcPr>
          <w:p w14:paraId="1D55C315" w14:textId="279D0D41" w:rsidR="00DC723B" w:rsidRPr="00F97397" w:rsidRDefault="00DC723B" w:rsidP="00D4732D">
            <w:pPr>
              <w:spacing w:before="60" w:after="60"/>
              <w:jc w:val="center"/>
              <w:rPr>
                <w:rFonts w:eastAsia="Calibri" w:cs="Calibri"/>
                <w:sz w:val="20"/>
                <w:szCs w:val="20"/>
                <w:lang w:val="es-ES"/>
              </w:rPr>
            </w:pPr>
            <w:r w:rsidRPr="00F97397">
              <w:rPr>
                <w:sz w:val="20"/>
                <w:szCs w:val="20"/>
                <w:lang w:val="es-ES"/>
              </w:rPr>
              <w:t>100 km al nivel de vuelo</w:t>
            </w:r>
          </w:p>
        </w:tc>
        <w:tc>
          <w:tcPr>
            <w:tcW w:w="798" w:type="pct"/>
            <w:tcBorders>
              <w:top w:val="single" w:sz="6" w:space="0" w:color="auto"/>
              <w:left w:val="single" w:sz="6" w:space="0" w:color="auto"/>
              <w:bottom w:val="single" w:sz="6" w:space="0" w:color="auto"/>
              <w:right w:val="single" w:sz="6" w:space="0" w:color="auto"/>
            </w:tcBorders>
            <w:vAlign w:val="center"/>
          </w:tcPr>
          <w:p w14:paraId="7E29C814" w14:textId="689970EA" w:rsidR="00DC723B" w:rsidRPr="00F97397" w:rsidRDefault="00DC723B" w:rsidP="00D4732D">
            <w:pPr>
              <w:spacing w:before="60" w:after="60"/>
              <w:jc w:val="center"/>
              <w:rPr>
                <w:rFonts w:eastAsia="Calibri" w:cs="Calibri"/>
                <w:sz w:val="20"/>
                <w:szCs w:val="20"/>
              </w:rPr>
            </w:pPr>
            <w:r w:rsidRPr="00F97397">
              <w:rPr>
                <w:sz w:val="20"/>
                <w:szCs w:val="20"/>
                <w:lang w:val="es-ES"/>
              </w:rPr>
              <w:t>300 m para perfiles</w:t>
            </w:r>
          </w:p>
        </w:tc>
        <w:tc>
          <w:tcPr>
            <w:tcW w:w="870" w:type="pct"/>
            <w:tcBorders>
              <w:top w:val="single" w:sz="6" w:space="0" w:color="auto"/>
              <w:left w:val="single" w:sz="6" w:space="0" w:color="auto"/>
              <w:bottom w:val="single" w:sz="6" w:space="0" w:color="auto"/>
              <w:right w:val="single" w:sz="6" w:space="0" w:color="auto"/>
            </w:tcBorders>
            <w:vAlign w:val="center"/>
          </w:tcPr>
          <w:p w14:paraId="23EDA419" w14:textId="77777777" w:rsidR="00DC723B" w:rsidRPr="00F97397" w:rsidRDefault="00DC723B" w:rsidP="00D4732D">
            <w:pPr>
              <w:spacing w:before="60" w:after="60"/>
              <w:jc w:val="center"/>
              <w:rPr>
                <w:rFonts w:eastAsia="Calibri" w:cs="Calibri"/>
                <w:sz w:val="20"/>
                <w:szCs w:val="20"/>
              </w:rPr>
            </w:pPr>
            <w:r w:rsidRPr="00F97397">
              <w:rPr>
                <w:sz w:val="20"/>
                <w:szCs w:val="20"/>
                <w:lang w:val="es-ES"/>
              </w:rPr>
              <w:t>1 h</w:t>
            </w:r>
          </w:p>
        </w:tc>
        <w:tc>
          <w:tcPr>
            <w:tcW w:w="652" w:type="pct"/>
            <w:tcBorders>
              <w:top w:val="single" w:sz="6" w:space="0" w:color="auto"/>
              <w:left w:val="single" w:sz="6" w:space="0" w:color="auto"/>
              <w:bottom w:val="single" w:sz="6" w:space="0" w:color="auto"/>
              <w:right w:val="single" w:sz="6" w:space="0" w:color="auto"/>
            </w:tcBorders>
            <w:vAlign w:val="center"/>
          </w:tcPr>
          <w:p w14:paraId="6EBD1E3C" w14:textId="77777777" w:rsidR="00DC723B" w:rsidRPr="00F97397" w:rsidRDefault="00DC723B" w:rsidP="00D4732D">
            <w:pPr>
              <w:spacing w:before="60" w:after="60"/>
              <w:jc w:val="center"/>
              <w:rPr>
                <w:rFonts w:eastAsia="Calibri" w:cs="Calibri"/>
                <w:sz w:val="20"/>
                <w:szCs w:val="20"/>
              </w:rPr>
            </w:pPr>
            <w:r w:rsidRPr="00F97397">
              <w:rPr>
                <w:sz w:val="20"/>
                <w:szCs w:val="20"/>
                <w:lang w:val="es-ES"/>
              </w:rPr>
              <w:t>T, H, W</w:t>
            </w:r>
          </w:p>
        </w:tc>
        <w:tc>
          <w:tcPr>
            <w:tcW w:w="943" w:type="pct"/>
            <w:tcBorders>
              <w:top w:val="single" w:sz="6" w:space="0" w:color="auto"/>
              <w:left w:val="single" w:sz="6" w:space="0" w:color="auto"/>
              <w:bottom w:val="single" w:sz="6" w:space="0" w:color="auto"/>
              <w:right w:val="single" w:sz="6" w:space="0" w:color="auto"/>
            </w:tcBorders>
            <w:vAlign w:val="center"/>
          </w:tcPr>
          <w:p w14:paraId="683DC4C1" w14:textId="77777777" w:rsidR="00DC723B" w:rsidRPr="00F97397" w:rsidRDefault="00DC723B" w:rsidP="00D4732D">
            <w:pPr>
              <w:spacing w:before="60" w:after="60"/>
              <w:jc w:val="center"/>
              <w:rPr>
                <w:rFonts w:eastAsia="Calibri" w:cs="Calibri"/>
                <w:sz w:val="20"/>
                <w:szCs w:val="20"/>
                <w:lang w:val="es-ES"/>
              </w:rPr>
            </w:pPr>
            <w:r w:rsidRPr="00F97397">
              <w:rPr>
                <w:sz w:val="20"/>
                <w:szCs w:val="20"/>
                <w:lang w:val="es-ES"/>
              </w:rPr>
              <w:t>Intercambio de datos por contrato de licencia</w:t>
            </w:r>
          </w:p>
        </w:tc>
      </w:tr>
      <w:tr w:rsidR="00DC723B" w:rsidRPr="00F97397" w14:paraId="60243093" w14:textId="77777777" w:rsidTr="00216024">
        <w:tc>
          <w:tcPr>
            <w:tcW w:w="938" w:type="pct"/>
            <w:tcBorders>
              <w:top w:val="single" w:sz="6" w:space="0" w:color="auto"/>
              <w:left w:val="single" w:sz="6" w:space="0" w:color="auto"/>
              <w:bottom w:val="single" w:sz="6" w:space="0" w:color="auto"/>
              <w:right w:val="single" w:sz="6" w:space="0" w:color="auto"/>
            </w:tcBorders>
            <w:shd w:val="clear" w:color="auto" w:fill="E5DFEC" w:themeFill="accent4" w:themeFillTint="33"/>
            <w:vAlign w:val="center"/>
          </w:tcPr>
          <w:p w14:paraId="5B13D435" w14:textId="77777777" w:rsidR="00DC723B" w:rsidRPr="00F97397" w:rsidRDefault="00DC723B" w:rsidP="00D4732D">
            <w:pPr>
              <w:spacing w:before="60" w:after="60"/>
              <w:rPr>
                <w:rFonts w:eastAsia="Calibri" w:cs="Calibri"/>
                <w:sz w:val="20"/>
                <w:szCs w:val="20"/>
                <w:lang w:val="es-ES"/>
              </w:rPr>
            </w:pPr>
            <w:r w:rsidRPr="00F97397">
              <w:rPr>
                <w:b/>
                <w:bCs/>
                <w:sz w:val="20"/>
                <w:szCs w:val="20"/>
                <w:lang w:val="es-ES"/>
              </w:rPr>
              <w:t>Observaciones con perfiladores por teledetección</w:t>
            </w:r>
          </w:p>
        </w:tc>
        <w:tc>
          <w:tcPr>
            <w:tcW w:w="799" w:type="pct"/>
            <w:tcBorders>
              <w:top w:val="single" w:sz="6" w:space="0" w:color="auto"/>
              <w:left w:val="single" w:sz="6" w:space="0" w:color="auto"/>
              <w:bottom w:val="single" w:sz="6" w:space="0" w:color="auto"/>
              <w:right w:val="single" w:sz="6" w:space="0" w:color="auto"/>
            </w:tcBorders>
            <w:vAlign w:val="center"/>
          </w:tcPr>
          <w:p w14:paraId="22C0DED4" w14:textId="77777777" w:rsidR="00DC723B" w:rsidRPr="00F97397" w:rsidRDefault="00DC723B" w:rsidP="00D4732D">
            <w:pPr>
              <w:spacing w:before="60" w:after="60"/>
              <w:jc w:val="center"/>
              <w:rPr>
                <w:rFonts w:eastAsia="Calibri" w:cs="Calibri"/>
                <w:sz w:val="20"/>
                <w:szCs w:val="20"/>
              </w:rPr>
            </w:pPr>
            <w:r w:rsidRPr="00F97397">
              <w:rPr>
                <w:sz w:val="20"/>
                <w:szCs w:val="20"/>
                <w:lang w:val="es-ES"/>
              </w:rPr>
              <w:t>Cuando existan</w:t>
            </w:r>
          </w:p>
        </w:tc>
        <w:tc>
          <w:tcPr>
            <w:tcW w:w="798" w:type="pct"/>
            <w:tcBorders>
              <w:top w:val="single" w:sz="6" w:space="0" w:color="auto"/>
              <w:left w:val="single" w:sz="6" w:space="0" w:color="auto"/>
              <w:bottom w:val="single" w:sz="6" w:space="0" w:color="auto"/>
              <w:right w:val="single" w:sz="6" w:space="0" w:color="auto"/>
            </w:tcBorders>
            <w:vAlign w:val="center"/>
          </w:tcPr>
          <w:p w14:paraId="5C31423B" w14:textId="767C3210" w:rsidR="00DC723B" w:rsidRPr="00F97397" w:rsidRDefault="00DC723B" w:rsidP="00D4732D">
            <w:pPr>
              <w:spacing w:before="60" w:after="60"/>
              <w:jc w:val="center"/>
              <w:rPr>
                <w:rFonts w:eastAsia="Calibri" w:cs="Calibri"/>
                <w:sz w:val="20"/>
                <w:szCs w:val="20"/>
              </w:rPr>
            </w:pPr>
            <w:r w:rsidRPr="00F97397">
              <w:rPr>
                <w:sz w:val="20"/>
                <w:szCs w:val="20"/>
                <w:lang w:val="es-ES"/>
              </w:rPr>
              <w:t>100 m</w:t>
            </w:r>
          </w:p>
        </w:tc>
        <w:tc>
          <w:tcPr>
            <w:tcW w:w="870" w:type="pct"/>
            <w:tcBorders>
              <w:top w:val="single" w:sz="6" w:space="0" w:color="auto"/>
              <w:left w:val="single" w:sz="6" w:space="0" w:color="auto"/>
              <w:bottom w:val="single" w:sz="6" w:space="0" w:color="auto"/>
              <w:right w:val="single" w:sz="6" w:space="0" w:color="auto"/>
            </w:tcBorders>
            <w:vAlign w:val="center"/>
          </w:tcPr>
          <w:p w14:paraId="68C6BBC1" w14:textId="77777777" w:rsidR="00DC723B" w:rsidRPr="00F97397" w:rsidRDefault="00DC723B" w:rsidP="00D4732D">
            <w:pPr>
              <w:spacing w:before="60" w:after="60"/>
              <w:jc w:val="center"/>
              <w:rPr>
                <w:rFonts w:eastAsia="Calibri" w:cs="Calibri"/>
                <w:sz w:val="20"/>
                <w:szCs w:val="20"/>
              </w:rPr>
            </w:pPr>
            <w:r w:rsidRPr="00F97397">
              <w:rPr>
                <w:sz w:val="20"/>
                <w:szCs w:val="20"/>
                <w:lang w:val="es-ES"/>
              </w:rPr>
              <w:t>1 h</w:t>
            </w:r>
          </w:p>
        </w:tc>
        <w:tc>
          <w:tcPr>
            <w:tcW w:w="652" w:type="pct"/>
            <w:tcBorders>
              <w:top w:val="single" w:sz="6" w:space="0" w:color="auto"/>
              <w:left w:val="single" w:sz="6" w:space="0" w:color="auto"/>
              <w:bottom w:val="single" w:sz="6" w:space="0" w:color="auto"/>
              <w:right w:val="single" w:sz="6" w:space="0" w:color="auto"/>
            </w:tcBorders>
            <w:vAlign w:val="center"/>
          </w:tcPr>
          <w:p w14:paraId="2B1DD1A7" w14:textId="77777777" w:rsidR="00DC723B" w:rsidRPr="00F97397" w:rsidRDefault="00DC723B" w:rsidP="00D4732D">
            <w:pPr>
              <w:spacing w:before="60" w:after="60"/>
              <w:jc w:val="center"/>
              <w:rPr>
                <w:rFonts w:eastAsia="Calibri" w:cs="Calibri"/>
                <w:sz w:val="20"/>
                <w:szCs w:val="20"/>
              </w:rPr>
            </w:pPr>
            <w:r w:rsidRPr="00F97397">
              <w:rPr>
                <w:sz w:val="20"/>
                <w:szCs w:val="20"/>
                <w:lang w:val="es-ES"/>
              </w:rPr>
              <w:t>T, H, W</w:t>
            </w:r>
          </w:p>
        </w:tc>
        <w:tc>
          <w:tcPr>
            <w:tcW w:w="943" w:type="pct"/>
            <w:tcBorders>
              <w:top w:val="single" w:sz="6" w:space="0" w:color="auto"/>
              <w:left w:val="single" w:sz="6" w:space="0" w:color="auto"/>
              <w:bottom w:val="single" w:sz="6" w:space="0" w:color="auto"/>
              <w:right w:val="single" w:sz="6" w:space="0" w:color="auto"/>
            </w:tcBorders>
            <w:vAlign w:val="center"/>
          </w:tcPr>
          <w:p w14:paraId="3200B4C8" w14:textId="0469CC12" w:rsidR="00DC723B" w:rsidRPr="00F97397" w:rsidRDefault="00DC723B" w:rsidP="00D4732D">
            <w:pPr>
              <w:spacing w:before="60" w:after="60"/>
              <w:jc w:val="center"/>
              <w:rPr>
                <w:rFonts w:eastAsia="Calibri" w:cs="Calibri"/>
                <w:sz w:val="20"/>
                <w:szCs w:val="20"/>
              </w:rPr>
            </w:pPr>
            <w:r w:rsidRPr="00F97397">
              <w:rPr>
                <w:sz w:val="20"/>
                <w:szCs w:val="20"/>
                <w:lang w:val="es-ES"/>
              </w:rPr>
              <w:t>n/a</w:t>
            </w:r>
          </w:p>
        </w:tc>
      </w:tr>
    </w:tbl>
    <w:p w14:paraId="67686206" w14:textId="2ED7CDD8" w:rsidR="00E56EB1" w:rsidRPr="0087080D" w:rsidRDefault="000F35ED" w:rsidP="002D6853">
      <w:pPr>
        <w:pStyle w:val="ListParagraph"/>
        <w:keepNext/>
        <w:keepLines/>
        <w:spacing w:before="480" w:after="200" w:line="276" w:lineRule="auto"/>
        <w:ind w:left="357" w:hanging="357"/>
        <w:jc w:val="both"/>
        <w:outlineLvl w:val="2"/>
        <w:rPr>
          <w:rFonts w:ascii="Verdana" w:hAnsi="Verdana"/>
          <w:sz w:val="20"/>
          <w:szCs w:val="20"/>
          <w:lang w:val="es-ES"/>
        </w:rPr>
      </w:pPr>
      <w:r w:rsidRPr="0087080D">
        <w:rPr>
          <w:rFonts w:ascii="Verdana" w:hAnsi="Verdana"/>
          <w:b/>
          <w:bCs/>
          <w:sz w:val="20"/>
          <w:szCs w:val="20"/>
          <w:lang w:val="es-ES"/>
        </w:rPr>
        <w:t>2.2</w:t>
      </w:r>
      <w:r w:rsidRPr="0087080D">
        <w:rPr>
          <w:rFonts w:ascii="Verdana" w:hAnsi="Verdana"/>
          <w:sz w:val="20"/>
          <w:szCs w:val="20"/>
          <w:lang w:val="es-ES"/>
        </w:rPr>
        <w:tab/>
      </w:r>
      <w:r w:rsidRPr="0087080D">
        <w:rPr>
          <w:rFonts w:ascii="Verdana" w:hAnsi="Verdana"/>
          <w:sz w:val="20"/>
          <w:szCs w:val="20"/>
          <w:lang w:val="es-ES"/>
        </w:rPr>
        <w:tab/>
      </w:r>
      <w:r w:rsidRPr="0087080D">
        <w:rPr>
          <w:rFonts w:ascii="Verdana" w:hAnsi="Verdana"/>
          <w:b/>
          <w:bCs/>
          <w:sz w:val="20"/>
          <w:szCs w:val="20"/>
          <w:lang w:val="es-ES"/>
        </w:rPr>
        <w:t>Requisitos de densidad</w:t>
      </w:r>
      <w:r w:rsidR="00791733" w:rsidRPr="0087080D">
        <w:rPr>
          <w:rFonts w:ascii="Verdana" w:hAnsi="Verdana"/>
          <w:b/>
          <w:bCs/>
          <w:sz w:val="20"/>
          <w:szCs w:val="20"/>
          <w:lang w:val="es-ES"/>
        </w:rPr>
        <w:t xml:space="preserve"> alta de la red GBON</w:t>
      </w:r>
    </w:p>
    <w:p w14:paraId="2A856C3A" w14:textId="2F81C87F" w:rsidR="00E56EB1" w:rsidRPr="002E7790" w:rsidRDefault="00E56EB1" w:rsidP="000E2393">
      <w:pPr>
        <w:pStyle w:val="Bodytext"/>
        <w:keepNext/>
        <w:keepLines/>
        <w:rPr>
          <w:szCs w:val="20"/>
          <w:lang w:val="es-ES"/>
        </w:rPr>
      </w:pPr>
      <w:r>
        <w:rPr>
          <w:lang w:val="es-ES"/>
        </w:rPr>
        <w:t xml:space="preserve">Los requisitos de </w:t>
      </w:r>
      <w:r w:rsidR="003A6583">
        <w:rPr>
          <w:lang w:val="es-ES"/>
        </w:rPr>
        <w:t>densidad alta</w:t>
      </w:r>
      <w:r>
        <w:rPr>
          <w:lang w:val="es-ES"/>
        </w:rPr>
        <w:t xml:space="preserve"> de la GBON se aplican en aquellos casos en que los Miembros operan redes de estaciones o plataformas terrestres de observación en superficie que tengan una resolución horizontal de 100 km o mayor, </w:t>
      </w:r>
      <w:r w:rsidR="007160FD">
        <w:rPr>
          <w:lang w:val="es-ES"/>
        </w:rPr>
        <w:t>y</w:t>
      </w:r>
      <w:r>
        <w:rPr>
          <w:lang w:val="es-ES"/>
        </w:rPr>
        <w:t xml:space="preserve"> redes de estaciones o plataformas de observación en altitud que tengan una resolución horizontal de 200 km o mayor. De acuerdo con las disposiciones 3.2.2.8 y 3.2.2.13 de la GBON, los Miembros deberán operar sus redes conforme a dicha densidad. A su vez, las disposiciones 3.2.2.9 y 3.2.2.16, respectivamente, establecen que los Miembros que operen con densidades mayores pondrán a disposición de la comunidad internacional las observaciones de la GBON en tiempo real o casi real a través del Sistema de Información de la OMM (WIS).</w:t>
      </w:r>
    </w:p>
    <w:p w14:paraId="5B95C410" w14:textId="75854444" w:rsidR="00E56EB1" w:rsidRPr="002E7790" w:rsidRDefault="00E56EB1" w:rsidP="000E2393">
      <w:pPr>
        <w:pStyle w:val="Bodytext"/>
        <w:rPr>
          <w:rFonts w:eastAsia="Verdana" w:cs="Verdana"/>
          <w:szCs w:val="20"/>
          <w:lang w:val="es-ES"/>
        </w:rPr>
      </w:pPr>
      <w:r>
        <w:rPr>
          <w:lang w:val="es-ES"/>
        </w:rPr>
        <w:t>Por consiguiente, en lo que concierne a las redes terrestres de observaci</w:t>
      </w:r>
      <w:r w:rsidR="00642D0D">
        <w:rPr>
          <w:lang w:val="es-ES"/>
        </w:rPr>
        <w:t>ón</w:t>
      </w:r>
      <w:r>
        <w:rPr>
          <w:lang w:val="es-ES"/>
        </w:rPr>
        <w:t xml:space="preserve"> en superficie, el seguimiento del cumplimiento de las obligaciones relativas a la GBON se </w:t>
      </w:r>
      <w:r w:rsidR="009479E0">
        <w:rPr>
          <w:lang w:val="es-ES"/>
        </w:rPr>
        <w:t>realizará</w:t>
      </w:r>
      <w:r>
        <w:rPr>
          <w:lang w:val="es-ES"/>
        </w:rPr>
        <w:t xml:space="preserve"> teniendo en cuenta el requisito de densidad normal de 200 km y el de densidad </w:t>
      </w:r>
      <w:r w:rsidR="00A643B6">
        <w:rPr>
          <w:lang w:val="es-ES"/>
        </w:rPr>
        <w:t xml:space="preserve">alta </w:t>
      </w:r>
      <w:r>
        <w:rPr>
          <w:lang w:val="es-ES"/>
        </w:rPr>
        <w:t>de 100 km, lo que proporciona dos objetivos distintos independientemente de si los Miembros están operando sus redes de acuerdo con la configuración normal o con la de densidad</w:t>
      </w:r>
      <w:r w:rsidR="00A643B6">
        <w:rPr>
          <w:lang w:val="es-ES"/>
        </w:rPr>
        <w:t xml:space="preserve"> alta</w:t>
      </w:r>
      <w:r>
        <w:rPr>
          <w:lang w:val="es-ES"/>
        </w:rPr>
        <w:t>.</w:t>
      </w:r>
    </w:p>
    <w:p w14:paraId="1B8F6F3C" w14:textId="6E6FD65B" w:rsidR="00E56EB1" w:rsidRPr="002E7790" w:rsidRDefault="00E56EB1" w:rsidP="00112429">
      <w:pPr>
        <w:pStyle w:val="Bodytext"/>
        <w:rPr>
          <w:rFonts w:eastAsia="Verdana" w:cs="Verdana"/>
          <w:szCs w:val="20"/>
          <w:lang w:val="es-ES"/>
        </w:rPr>
      </w:pPr>
      <w:r>
        <w:rPr>
          <w:lang w:val="es-ES"/>
        </w:rPr>
        <w:lastRenderedPageBreak/>
        <w:t xml:space="preserve">Del mismo modo, en el caso de las redes de observación en altitud, el seguimiento del cumplimiento de las obligaciones relativas a la GBON se </w:t>
      </w:r>
      <w:r w:rsidR="00C50F58">
        <w:rPr>
          <w:lang w:val="es-ES"/>
        </w:rPr>
        <w:t>realizará</w:t>
      </w:r>
      <w:r>
        <w:rPr>
          <w:lang w:val="es-ES"/>
        </w:rPr>
        <w:t xml:space="preserve"> teniendo en cuenta tanto el requisito de densidad normal de 500 km como el de </w:t>
      </w:r>
      <w:r w:rsidR="00A643B6">
        <w:rPr>
          <w:lang w:val="es-ES"/>
        </w:rPr>
        <w:t>d</w:t>
      </w:r>
      <w:r>
        <w:rPr>
          <w:lang w:val="es-ES"/>
        </w:rPr>
        <w:t xml:space="preserve">ensidad </w:t>
      </w:r>
      <w:r w:rsidR="00A643B6">
        <w:rPr>
          <w:lang w:val="es-ES"/>
        </w:rPr>
        <w:t xml:space="preserve">alta </w:t>
      </w:r>
      <w:r>
        <w:rPr>
          <w:lang w:val="es-ES"/>
        </w:rPr>
        <w:t>de 200 km.</w:t>
      </w:r>
    </w:p>
    <w:p w14:paraId="68AB06F8" w14:textId="66CDD3A3" w:rsidR="00E56EB1" w:rsidRPr="002E7790" w:rsidRDefault="00E56EB1" w:rsidP="00112429">
      <w:pPr>
        <w:pStyle w:val="Bodytext"/>
        <w:rPr>
          <w:rFonts w:eastAsia="Verdana" w:cs="Verdana"/>
          <w:szCs w:val="20"/>
          <w:lang w:val="es-ES"/>
        </w:rPr>
      </w:pPr>
      <w:r>
        <w:rPr>
          <w:lang w:val="es-ES"/>
        </w:rPr>
        <w:t xml:space="preserve">Los informes sobre el cumplimiento de las obligaciones relativas a la GBON indicarán de ese modo qué países están operando sus redes terrestres de observación en superficie y en altitud con densidad </w:t>
      </w:r>
      <w:r w:rsidR="00A643B6">
        <w:rPr>
          <w:lang w:val="es-ES"/>
        </w:rPr>
        <w:t xml:space="preserve">alta </w:t>
      </w:r>
      <w:r>
        <w:rPr>
          <w:lang w:val="es-ES"/>
        </w:rPr>
        <w:t>y cuáles lo están haciendo con una configuración de densidad normal.</w:t>
      </w:r>
    </w:p>
    <w:p w14:paraId="04373E73" w14:textId="7CF881D5" w:rsidR="001730DE" w:rsidRPr="002E7790" w:rsidRDefault="00625490" w:rsidP="002D6853">
      <w:pPr>
        <w:pStyle w:val="Heading2"/>
        <w:spacing w:after="240" w:line="280" w:lineRule="exact"/>
        <w:jc w:val="both"/>
        <w:rPr>
          <w:rFonts w:cstheme="minorHAnsi"/>
          <w:sz w:val="24"/>
          <w:szCs w:val="24"/>
          <w:lang w:val="es-ES"/>
        </w:rPr>
      </w:pPr>
      <w:r>
        <w:rPr>
          <w:lang w:val="es-ES"/>
        </w:rPr>
        <w:t xml:space="preserve">3. </w:t>
      </w:r>
      <w:r>
        <w:rPr>
          <w:lang w:val="es-ES"/>
        </w:rPr>
        <w:tab/>
        <w:t>DESIGNACIÓN DE ESTACIONES DE LA GBON</w:t>
      </w:r>
    </w:p>
    <w:p w14:paraId="566379E6" w14:textId="77777777" w:rsidR="003E63BF" w:rsidRPr="0087080D" w:rsidRDefault="003E63BF" w:rsidP="002D6853">
      <w:pPr>
        <w:pStyle w:val="ListParagraph"/>
        <w:spacing w:before="240" w:after="200" w:line="240" w:lineRule="auto"/>
        <w:ind w:left="357" w:hanging="357"/>
        <w:jc w:val="both"/>
        <w:outlineLvl w:val="2"/>
        <w:rPr>
          <w:rFonts w:ascii="Verdana" w:hAnsi="Verdana"/>
          <w:b/>
          <w:bCs/>
          <w:sz w:val="20"/>
          <w:szCs w:val="20"/>
          <w:lang w:val="es-ES"/>
        </w:rPr>
      </w:pPr>
      <w:r w:rsidRPr="0087080D">
        <w:rPr>
          <w:rFonts w:ascii="Verdana" w:hAnsi="Verdana"/>
          <w:b/>
          <w:bCs/>
          <w:sz w:val="20"/>
          <w:szCs w:val="20"/>
          <w:lang w:val="es-ES"/>
        </w:rPr>
        <w:t>3.1</w:t>
      </w:r>
      <w:r w:rsidRPr="0087080D">
        <w:rPr>
          <w:rFonts w:ascii="Verdana" w:hAnsi="Verdana"/>
          <w:sz w:val="20"/>
          <w:szCs w:val="20"/>
          <w:lang w:val="es-ES"/>
        </w:rPr>
        <w:t xml:space="preserve"> </w:t>
      </w:r>
      <w:r w:rsidRPr="0087080D">
        <w:rPr>
          <w:rFonts w:ascii="Verdana" w:hAnsi="Verdana"/>
          <w:sz w:val="20"/>
          <w:szCs w:val="20"/>
          <w:lang w:val="es-ES"/>
        </w:rPr>
        <w:tab/>
      </w:r>
      <w:r w:rsidRPr="0087080D">
        <w:rPr>
          <w:rFonts w:ascii="Verdana" w:hAnsi="Verdana"/>
          <w:b/>
          <w:bCs/>
          <w:sz w:val="20"/>
          <w:szCs w:val="20"/>
          <w:lang w:val="es-ES"/>
        </w:rPr>
        <w:t>Proceso de designación de estaciones de la GBON</w:t>
      </w:r>
    </w:p>
    <w:p w14:paraId="41484844" w14:textId="77777777" w:rsidR="003E63BF" w:rsidRPr="002E7790" w:rsidRDefault="003E63BF" w:rsidP="00112429">
      <w:pPr>
        <w:spacing w:after="240" w:line="240" w:lineRule="exact"/>
        <w:rPr>
          <w:shd w:val="clear" w:color="auto" w:fill="FFFFFF"/>
          <w:lang w:val="es-ES"/>
        </w:rPr>
      </w:pPr>
      <w:r>
        <w:rPr>
          <w:lang w:val="es-ES"/>
        </w:rPr>
        <w:t>La composición de la GBON, actualizada de acuerdo con las propuestas de los Miembros con respecto a la designación de estaciones de la GBON, recibe la aprobación periódica de la INFCOM.</w:t>
      </w:r>
    </w:p>
    <w:p w14:paraId="0D093F22" w14:textId="14C585B9" w:rsidR="003E63BF" w:rsidRPr="002E7790" w:rsidRDefault="003E63BF" w:rsidP="00112429">
      <w:pPr>
        <w:spacing w:after="240" w:line="240" w:lineRule="exact"/>
        <w:rPr>
          <w:rFonts w:eastAsiaTheme="minorEastAsia" w:cstheme="minorHAnsi"/>
          <w:lang w:val="es-ES"/>
        </w:rPr>
      </w:pPr>
      <w:r>
        <w:rPr>
          <w:lang w:val="es-ES"/>
        </w:rPr>
        <w:t xml:space="preserve">Los Miembros están facultados para designar estaciones en la GBON, ya sea sobre la base del análisis global de carencias o </w:t>
      </w:r>
      <w:r w:rsidR="00CD5E2C">
        <w:rPr>
          <w:lang w:val="es-ES"/>
        </w:rPr>
        <w:t>de</w:t>
      </w:r>
      <w:r>
        <w:rPr>
          <w:lang w:val="es-ES"/>
        </w:rPr>
        <w:t xml:space="preserve"> uno efectuado por ellos mismos.</w:t>
      </w:r>
    </w:p>
    <w:p w14:paraId="36C7BA71" w14:textId="1D02B148" w:rsidR="00F21140" w:rsidRPr="002E7790" w:rsidRDefault="003E63BF" w:rsidP="00112429">
      <w:pPr>
        <w:spacing w:after="240" w:line="240" w:lineRule="exact"/>
        <w:rPr>
          <w:lang w:val="es-ES"/>
        </w:rPr>
      </w:pPr>
      <w:r>
        <w:rPr>
          <w:lang w:val="es-ES"/>
        </w:rPr>
        <w:t xml:space="preserve">El proceso que deben seguir todas las partes interesadas para la designación de estaciones de la GBON se regula </w:t>
      </w:r>
      <w:r w:rsidR="007232ED">
        <w:rPr>
          <w:lang w:val="es-ES"/>
        </w:rPr>
        <w:t>en</w:t>
      </w:r>
      <w:r>
        <w:rPr>
          <w:lang w:val="es-ES"/>
        </w:rPr>
        <w:t xml:space="preserve"> el Apéndice 3.1 del </w:t>
      </w:r>
      <w:hyperlink r:id="rId16" w:history="1">
        <w:r w:rsidRPr="00FA7B25">
          <w:rPr>
            <w:rStyle w:val="Hyperlink"/>
            <w:i/>
            <w:iCs/>
            <w:lang w:val="es-ES"/>
          </w:rPr>
          <w:t>Manual del Sistema Mundial Integrado de Sistemas de Observación de la OMM</w:t>
        </w:r>
      </w:hyperlink>
      <w:r>
        <w:rPr>
          <w:i/>
          <w:iCs/>
          <w:lang w:val="es-ES"/>
        </w:rPr>
        <w:t xml:space="preserve"> </w:t>
      </w:r>
      <w:r>
        <w:rPr>
          <w:lang w:val="es-ES"/>
        </w:rPr>
        <w:t>(OMM-Nº 1160), que se reproduce a continuación para facilitar su consulta.</w:t>
      </w:r>
    </w:p>
    <w:p w14:paraId="274858A5" w14:textId="24AAEEBB" w:rsidR="003E63BF" w:rsidRPr="002E7790" w:rsidRDefault="00F21140" w:rsidP="002D6853">
      <w:pPr>
        <w:spacing w:after="240" w:line="240" w:lineRule="exact"/>
        <w:jc w:val="both"/>
        <w:rPr>
          <w:i/>
          <w:iCs/>
          <w:lang w:val="es-ES"/>
        </w:rPr>
      </w:pPr>
      <w:r>
        <w:rPr>
          <w:i/>
          <w:iCs/>
          <w:lang w:val="es-ES"/>
        </w:rPr>
        <w:t xml:space="preserve">(Nota editorial: el texto que figura a continuación se actualizará oportunamente para mantener la coherencia </w:t>
      </w:r>
      <w:r w:rsidR="003C477C">
        <w:rPr>
          <w:i/>
          <w:iCs/>
          <w:lang w:val="es-ES"/>
        </w:rPr>
        <w:t>d</w:t>
      </w:r>
      <w:r>
        <w:rPr>
          <w:i/>
          <w:iCs/>
          <w:lang w:val="es-ES"/>
        </w:rPr>
        <w:t>el Manual con la Resolución 3.2(</w:t>
      </w:r>
      <w:proofErr w:type="gramStart"/>
      <w:r>
        <w:rPr>
          <w:i/>
          <w:iCs/>
          <w:lang w:val="es-ES"/>
        </w:rPr>
        <w:t>1)/</w:t>
      </w:r>
      <w:proofErr w:type="gramEnd"/>
      <w:r>
        <w:rPr>
          <w:i/>
          <w:iCs/>
          <w:lang w:val="es-ES"/>
        </w:rPr>
        <w:t>1 (EC-76).)</w:t>
      </w:r>
    </w:p>
    <w:p w14:paraId="1D7D7262" w14:textId="0F3E9C52" w:rsidR="003E63BF" w:rsidRPr="002E7790" w:rsidRDefault="003E63BF" w:rsidP="00112429">
      <w:pPr>
        <w:spacing w:after="240" w:line="240" w:lineRule="exact"/>
        <w:ind w:left="567" w:hanging="567"/>
        <w:rPr>
          <w:color w:val="auto"/>
          <w:lang w:val="es-ES"/>
        </w:rPr>
      </w:pPr>
      <w:r>
        <w:rPr>
          <w:lang w:val="es-ES"/>
        </w:rPr>
        <w:t xml:space="preserve">1. </w:t>
      </w:r>
      <w:r>
        <w:rPr>
          <w:lang w:val="es-ES"/>
        </w:rPr>
        <w:tab/>
        <w:t>La lista de estaciones o plataformas de la GBON se extrae de la lista de estaciones o plataformas</w:t>
      </w:r>
      <w:r w:rsidR="009F7024">
        <w:rPr>
          <w:lang w:val="es-ES"/>
        </w:rPr>
        <w:t xml:space="preserve"> </w:t>
      </w:r>
      <w:r>
        <w:rPr>
          <w:lang w:val="es-ES"/>
        </w:rPr>
        <w:t>disponibles en el WIGOS creada</w:t>
      </w:r>
      <w:r w:rsidR="00D90CB0">
        <w:rPr>
          <w:lang w:val="es-ES"/>
        </w:rPr>
        <w:t>s</w:t>
      </w:r>
      <w:r>
        <w:rPr>
          <w:lang w:val="es-ES"/>
        </w:rPr>
        <w:t xml:space="preserve"> por los Miembros en la Herramienta de Análisis y Examen de la Capacidad de los Sistemas de Observación en Superficie (</w:t>
      </w:r>
      <w:hyperlink r:id="rId17" w:history="1">
        <w:r w:rsidRPr="00FA7B25">
          <w:rPr>
            <w:rStyle w:val="Hyperlink"/>
            <w:lang w:val="es-ES"/>
          </w:rPr>
          <w:t>OSCAR/Superficie</w:t>
        </w:r>
      </w:hyperlink>
      <w:r>
        <w:rPr>
          <w:lang w:val="es-ES"/>
        </w:rPr>
        <w:t>), y está supervisada por la herramienta web del Sistema de Control de la Calidad de los Datos del WIGOS.</w:t>
      </w:r>
    </w:p>
    <w:p w14:paraId="7099D52B" w14:textId="77777777" w:rsidR="003E63BF" w:rsidRPr="002E7790" w:rsidRDefault="003E63BF" w:rsidP="00112429">
      <w:pPr>
        <w:spacing w:after="240" w:line="240" w:lineRule="exact"/>
        <w:ind w:left="567" w:hanging="567"/>
        <w:rPr>
          <w:color w:val="auto"/>
          <w:lang w:val="es-ES"/>
        </w:rPr>
      </w:pPr>
      <w:r>
        <w:rPr>
          <w:lang w:val="es-ES"/>
        </w:rPr>
        <w:t xml:space="preserve">2. </w:t>
      </w:r>
      <w:r>
        <w:rPr>
          <w:lang w:val="es-ES"/>
        </w:rPr>
        <w:tab/>
        <w:t>El subconjunto que los Miembros propondrán para su designación en la GBON se basa en las disposiciones 3.2.2.7 a 3.2.2.10 y 3.2.2.12 a 3.2.2.15.</w:t>
      </w:r>
    </w:p>
    <w:p w14:paraId="5893BBF8" w14:textId="77777777" w:rsidR="003E63BF" w:rsidRPr="002E7790" w:rsidRDefault="003E63BF" w:rsidP="00112429">
      <w:pPr>
        <w:spacing w:after="240" w:line="240" w:lineRule="exact"/>
        <w:ind w:left="567" w:hanging="567"/>
        <w:rPr>
          <w:color w:val="auto"/>
          <w:lang w:val="es-ES"/>
        </w:rPr>
      </w:pPr>
      <w:r>
        <w:rPr>
          <w:lang w:val="es-ES"/>
        </w:rPr>
        <w:t xml:space="preserve">3. </w:t>
      </w:r>
      <w:r>
        <w:rPr>
          <w:lang w:val="es-ES"/>
        </w:rPr>
        <w:tab/>
        <w:t>La lista de estaciones y plataformas de la GBON se elabora en colaboración entre los Miembros y la INFCOM.</w:t>
      </w:r>
    </w:p>
    <w:p w14:paraId="369F01EB" w14:textId="77777777" w:rsidR="003E63BF" w:rsidRPr="002E7790" w:rsidRDefault="003E63BF" w:rsidP="00112429">
      <w:pPr>
        <w:spacing w:after="240" w:line="240" w:lineRule="exact"/>
        <w:ind w:left="567" w:hanging="567"/>
        <w:rPr>
          <w:color w:val="auto"/>
          <w:lang w:val="es-ES"/>
        </w:rPr>
      </w:pPr>
      <w:r>
        <w:rPr>
          <w:lang w:val="es-ES"/>
        </w:rPr>
        <w:t xml:space="preserve">4. </w:t>
      </w:r>
      <w:r>
        <w:rPr>
          <w:lang w:val="es-ES"/>
        </w:rPr>
        <w:tab/>
        <w:t>La INFCOM realiza un análisis periódico del estado de implementación de la GBON en el que se determina, para cada Miembro, el número de estaciones de observación en superficie y el número de estaciones de observación en altitud que se requieren para que el Miembro en cuestión cumpla sus obligaciones en virtud de lo establecido en las disposiciones 3.2.2.7 a 3.2.2.10 y 3.2.2.12 a 3.2.2.15.</w:t>
      </w:r>
    </w:p>
    <w:p w14:paraId="0D1972A2" w14:textId="0504565E" w:rsidR="003E63BF" w:rsidRPr="002E7790" w:rsidRDefault="003E63BF" w:rsidP="00112429">
      <w:pPr>
        <w:spacing w:after="240" w:line="240" w:lineRule="exact"/>
        <w:ind w:left="567" w:hanging="567"/>
        <w:rPr>
          <w:color w:val="auto"/>
          <w:lang w:val="es-ES"/>
        </w:rPr>
      </w:pPr>
      <w:r>
        <w:rPr>
          <w:lang w:val="es-ES"/>
        </w:rPr>
        <w:t xml:space="preserve">5. </w:t>
      </w:r>
      <w:r>
        <w:rPr>
          <w:lang w:val="es-ES"/>
        </w:rPr>
        <w:tab/>
        <w:t>La INFCOM revisa la contribución designada para cada Miembro, según lo establecido en la disposición 3.2.2.21, evalúa si cumple los requisitos especificados en las disposiciones 3.2.2.7 a 3.2.2.10 y 3.2.2.12 a 3.2.2.15, e informa por escrito de sus conclusiones al Miembro en cuestión.</w:t>
      </w:r>
    </w:p>
    <w:p w14:paraId="244F77A9" w14:textId="1C783F4B" w:rsidR="003E63BF" w:rsidRPr="002E7790" w:rsidRDefault="003E63BF" w:rsidP="00112429">
      <w:pPr>
        <w:spacing w:after="240" w:line="240" w:lineRule="exact"/>
        <w:ind w:left="567" w:hanging="567"/>
        <w:rPr>
          <w:color w:val="auto"/>
          <w:lang w:val="es-ES"/>
        </w:rPr>
      </w:pPr>
      <w:r>
        <w:rPr>
          <w:lang w:val="es-ES"/>
        </w:rPr>
        <w:t xml:space="preserve">6. </w:t>
      </w:r>
      <w:r>
        <w:rPr>
          <w:lang w:val="es-ES"/>
        </w:rPr>
        <w:tab/>
        <w:t xml:space="preserve">Para el mantenimiento de la GBON, los Miembros efectúan y registran la designación o eliminación de estaciones de la GBON en </w:t>
      </w:r>
      <w:hyperlink r:id="rId18" w:history="1">
        <w:r w:rsidRPr="00FA7B25">
          <w:rPr>
            <w:rStyle w:val="Hyperlink"/>
            <w:lang w:val="es-ES"/>
          </w:rPr>
          <w:t>OSCAR/Superficie</w:t>
        </w:r>
      </w:hyperlink>
      <w:r>
        <w:rPr>
          <w:lang w:val="es-ES"/>
        </w:rPr>
        <w:t xml:space="preserve"> a través de sus coordinadores nacionales de OSCAR/Superficie. Todas las estaciones de la GBON designadas aparecerán automáticamente en la herramienta web específica de la GBON. Las estaciones designadas por los Miembros en </w:t>
      </w:r>
      <w:hyperlink r:id="rId19" w:history="1">
        <w:r w:rsidRPr="00FA7B25">
          <w:rPr>
            <w:rStyle w:val="Hyperlink"/>
            <w:lang w:val="es-ES"/>
          </w:rPr>
          <w:t>OSCAR/Superficie</w:t>
        </w:r>
      </w:hyperlink>
      <w:r>
        <w:rPr>
          <w:lang w:val="es-ES"/>
        </w:rPr>
        <w:t xml:space="preserve"> quedan registradas con el estado "Pendiente de aprobación" en lo que respecta a su vinculación a la GBON.</w:t>
      </w:r>
    </w:p>
    <w:p w14:paraId="17AE5AD3" w14:textId="70271A14" w:rsidR="003E63BF" w:rsidRPr="002E7790" w:rsidRDefault="003E63BF" w:rsidP="00112429">
      <w:pPr>
        <w:spacing w:after="240" w:line="240" w:lineRule="exact"/>
        <w:ind w:left="567" w:hanging="567"/>
        <w:rPr>
          <w:color w:val="auto"/>
          <w:lang w:val="es-ES"/>
        </w:rPr>
      </w:pPr>
      <w:r>
        <w:rPr>
          <w:lang w:val="es-ES"/>
        </w:rPr>
        <w:t xml:space="preserve">7. </w:t>
      </w:r>
      <w:r>
        <w:rPr>
          <w:lang w:val="es-ES"/>
        </w:rPr>
        <w:tab/>
        <w:t xml:space="preserve">El Presidente de la INFCOM, ayudado por la Secretaría, examina las designaciones propuestas y elabora el proyecto de Resolución que se presentará a la </w:t>
      </w:r>
      <w:r w:rsidR="000C1467" w:rsidRPr="000C1467">
        <w:rPr>
          <w:lang w:val="es-ES"/>
        </w:rPr>
        <w:t>INFCOM</w:t>
      </w:r>
      <w:r>
        <w:rPr>
          <w:lang w:val="es-ES"/>
        </w:rPr>
        <w:t xml:space="preserve"> acerca de </w:t>
      </w:r>
      <w:r>
        <w:rPr>
          <w:lang w:val="es-ES"/>
        </w:rPr>
        <w:lastRenderedPageBreak/>
        <w:t xml:space="preserve">la composición actualizada de la GBON, el cual pone a disposición de todos los Miembros tres meses antes de la reunión de la </w:t>
      </w:r>
      <w:r w:rsidR="00FF1AD1">
        <w:rPr>
          <w:lang w:val="es-ES"/>
        </w:rPr>
        <w:t>Comisión</w:t>
      </w:r>
      <w:r>
        <w:rPr>
          <w:lang w:val="es-ES"/>
        </w:rPr>
        <w:t>.</w:t>
      </w:r>
    </w:p>
    <w:p w14:paraId="16DF0E9F" w14:textId="77777777" w:rsidR="003E63BF" w:rsidRPr="002E7790" w:rsidRDefault="003E63BF" w:rsidP="00112429">
      <w:pPr>
        <w:spacing w:after="240" w:line="240" w:lineRule="exact"/>
        <w:ind w:left="567" w:hanging="567"/>
        <w:rPr>
          <w:color w:val="auto"/>
          <w:lang w:val="es-ES"/>
        </w:rPr>
      </w:pPr>
      <w:r>
        <w:rPr>
          <w:lang w:val="es-ES"/>
        </w:rPr>
        <w:t xml:space="preserve">8. </w:t>
      </w:r>
      <w:r>
        <w:rPr>
          <w:lang w:val="es-ES"/>
        </w:rPr>
        <w:tab/>
        <w:t>De acuerdo con los comentarios enviados por los Miembros, se presenta a la INFCOM una versión final del proyecto de Resolución sobre la composición de la GBON para su aprobación.</w:t>
      </w:r>
    </w:p>
    <w:p w14:paraId="0640A58F" w14:textId="417E646A" w:rsidR="003E63BF" w:rsidRPr="00386A31" w:rsidRDefault="003E63BF" w:rsidP="00112429">
      <w:pPr>
        <w:spacing w:after="240" w:line="240" w:lineRule="exact"/>
        <w:rPr>
          <w:shd w:val="clear" w:color="auto" w:fill="FFFFFF"/>
          <w:lang w:val="es-ES"/>
        </w:rPr>
      </w:pPr>
      <w:r w:rsidRPr="00386A31">
        <w:rPr>
          <w:lang w:val="es-ES"/>
        </w:rPr>
        <w:t xml:space="preserve">A continuación, la INFCOM decide la composición de la GBON sobre la base de la lista de estaciones designadas que aparecen en la </w:t>
      </w:r>
      <w:hyperlink r:id="rId20" w:history="1">
        <w:r w:rsidRPr="00386A31">
          <w:rPr>
            <w:rStyle w:val="Hyperlink"/>
            <w:lang w:val="es-ES"/>
          </w:rPr>
          <w:t>herramienta web de la GBON</w:t>
        </w:r>
      </w:hyperlink>
      <w:r w:rsidRPr="00386A31">
        <w:rPr>
          <w:lang w:val="es-ES"/>
        </w:rPr>
        <w:t xml:space="preserve"> en el momento de la reunión. Es posible introducir ajustes durante la reunión, tras la cual la INFCOM aprueba la versión actualizada de la composición de la GBON. En esta fase, </w:t>
      </w:r>
      <w:r w:rsidR="002F4C8F" w:rsidRPr="002F4C8F">
        <w:rPr>
          <w:lang w:val="es-ES"/>
        </w:rPr>
        <w:t>la Secretaría modifica el estado de las estaciones "Pendiente de aprobación" en lo que respecta a su vinculación a la GBON a "Aprobadas" sobre la base de la decisión final de la INFCOM</w:t>
      </w:r>
      <w:r w:rsidRPr="00386A31">
        <w:rPr>
          <w:lang w:val="es-ES"/>
        </w:rPr>
        <w:t>. El presidente de la INFCOM también está autorizado, durante el período entre reuniones de la INFCOM, a aprobar pequeños ajustes de la composición de la GBON en nombre de la Comisión.</w:t>
      </w:r>
    </w:p>
    <w:p w14:paraId="791C1079" w14:textId="77777777" w:rsidR="003E63BF" w:rsidRPr="00386A31" w:rsidRDefault="003E63BF" w:rsidP="00112429">
      <w:pPr>
        <w:spacing w:after="240" w:line="240" w:lineRule="exact"/>
        <w:rPr>
          <w:shd w:val="clear" w:color="auto" w:fill="FFFFFF"/>
          <w:lang w:val="es-ES"/>
        </w:rPr>
      </w:pPr>
      <w:r w:rsidRPr="00386A31">
        <w:rPr>
          <w:lang w:val="es-ES"/>
        </w:rPr>
        <w:t>Para facilitar el proceso de designación, se insta a los Miembros a adoptar las medidas que se enumeran a continuación:</w:t>
      </w:r>
    </w:p>
    <w:p w14:paraId="44B0F4A2" w14:textId="66195644" w:rsidR="003E63BF" w:rsidRPr="00386A31" w:rsidRDefault="003E63BF" w:rsidP="00112429">
      <w:pPr>
        <w:pStyle w:val="ListParagraph"/>
        <w:numPr>
          <w:ilvl w:val="0"/>
          <w:numId w:val="44"/>
        </w:numPr>
        <w:tabs>
          <w:tab w:val="left" w:pos="1134"/>
        </w:tabs>
        <w:spacing w:after="240" w:line="240" w:lineRule="exact"/>
        <w:ind w:left="567" w:hanging="567"/>
        <w:rPr>
          <w:rFonts w:ascii="Verdana" w:hAnsi="Verdana"/>
          <w:sz w:val="20"/>
          <w:szCs w:val="20"/>
          <w:lang w:val="es-ES"/>
        </w:rPr>
      </w:pPr>
      <w:r w:rsidRPr="00386A31">
        <w:rPr>
          <w:rFonts w:ascii="Verdana" w:hAnsi="Verdana"/>
          <w:sz w:val="20"/>
          <w:szCs w:val="20"/>
          <w:lang w:val="es-ES"/>
        </w:rPr>
        <w:t xml:space="preserve">Asegurarse de que se nombra un coordinador nacional de OSCAR/Superficie que tenga autoridad para designar estaciones </w:t>
      </w:r>
      <w:r w:rsidR="00CC0C93">
        <w:rPr>
          <w:rFonts w:ascii="Verdana" w:hAnsi="Verdana"/>
          <w:sz w:val="20"/>
          <w:szCs w:val="20"/>
          <w:lang w:val="es-ES"/>
        </w:rPr>
        <w:t xml:space="preserve">de la </w:t>
      </w:r>
      <w:r w:rsidRPr="00386A31">
        <w:rPr>
          <w:rFonts w:ascii="Verdana" w:hAnsi="Verdana"/>
          <w:sz w:val="20"/>
          <w:szCs w:val="20"/>
          <w:lang w:val="es-ES"/>
        </w:rPr>
        <w:t xml:space="preserve">GBON (véase la </w:t>
      </w:r>
      <w:hyperlink r:id="rId21" w:history="1">
        <w:r w:rsidRPr="00386A31">
          <w:rPr>
            <w:rStyle w:val="Hyperlink"/>
            <w:rFonts w:ascii="Verdana" w:hAnsi="Verdana"/>
            <w:sz w:val="20"/>
            <w:szCs w:val="20"/>
            <w:lang w:val="es-ES"/>
          </w:rPr>
          <w:t>lista de coordinadores nacionales designados</w:t>
        </w:r>
      </w:hyperlink>
      <w:r w:rsidRPr="00386A31">
        <w:rPr>
          <w:rFonts w:ascii="Verdana" w:hAnsi="Verdana"/>
          <w:sz w:val="20"/>
          <w:szCs w:val="20"/>
          <w:lang w:val="es-ES"/>
        </w:rPr>
        <w:t>).</w:t>
      </w:r>
    </w:p>
    <w:p w14:paraId="53A5BC4C" w14:textId="77777777" w:rsidR="003E63BF" w:rsidRPr="00386A31" w:rsidRDefault="003E63BF" w:rsidP="00112429">
      <w:pPr>
        <w:pStyle w:val="ListParagraph"/>
        <w:numPr>
          <w:ilvl w:val="0"/>
          <w:numId w:val="44"/>
        </w:numPr>
        <w:tabs>
          <w:tab w:val="left" w:pos="1134"/>
        </w:tabs>
        <w:spacing w:after="240" w:line="240" w:lineRule="exact"/>
        <w:ind w:left="567" w:hanging="567"/>
        <w:rPr>
          <w:rFonts w:ascii="Verdana" w:hAnsi="Verdana"/>
          <w:sz w:val="20"/>
          <w:szCs w:val="20"/>
          <w:lang w:val="es-ES"/>
        </w:rPr>
      </w:pPr>
      <w:r w:rsidRPr="00386A31">
        <w:rPr>
          <w:rFonts w:ascii="Verdana" w:hAnsi="Verdana"/>
          <w:sz w:val="20"/>
          <w:szCs w:val="20"/>
          <w:lang w:val="es-ES"/>
        </w:rPr>
        <w:t>Realizar periódicamente un análisis de carencias a nivel nacional en relación con las necesidades de la GBON (véanse las directrices y la plantilla de la sección 4 sobre la Gestión de la GBON).</w:t>
      </w:r>
    </w:p>
    <w:p w14:paraId="18359A76" w14:textId="77777777" w:rsidR="003E63BF" w:rsidRPr="00386A31" w:rsidRDefault="003E63BF" w:rsidP="00112429">
      <w:pPr>
        <w:pStyle w:val="ListParagraph"/>
        <w:numPr>
          <w:ilvl w:val="0"/>
          <w:numId w:val="44"/>
        </w:numPr>
        <w:tabs>
          <w:tab w:val="left" w:pos="1134"/>
        </w:tabs>
        <w:spacing w:after="240" w:line="240" w:lineRule="exact"/>
        <w:ind w:left="567" w:hanging="567"/>
        <w:rPr>
          <w:rFonts w:ascii="Verdana" w:hAnsi="Verdana"/>
          <w:sz w:val="20"/>
          <w:szCs w:val="20"/>
          <w:lang w:val="es-ES"/>
        </w:rPr>
      </w:pPr>
      <w:r w:rsidRPr="00386A31">
        <w:rPr>
          <w:rFonts w:ascii="Verdana" w:hAnsi="Verdana"/>
          <w:sz w:val="20"/>
          <w:szCs w:val="20"/>
          <w:lang w:val="es-ES"/>
        </w:rPr>
        <w:t>Establecer y actualizar los objetivos nacionales y el plan de contribuciones nacionales a la GBON (véanse las directrices de la sección 5.3).</w:t>
      </w:r>
    </w:p>
    <w:p w14:paraId="5B735517" w14:textId="6499C249" w:rsidR="003150F2" w:rsidRPr="0087080D" w:rsidRDefault="003150F2" w:rsidP="002D6853">
      <w:pPr>
        <w:pStyle w:val="ListParagraph"/>
        <w:spacing w:before="240" w:after="200" w:line="240" w:lineRule="auto"/>
        <w:ind w:left="357" w:hanging="357"/>
        <w:jc w:val="both"/>
        <w:outlineLvl w:val="2"/>
        <w:rPr>
          <w:rFonts w:ascii="Verdana" w:hAnsi="Verdana"/>
          <w:b/>
          <w:bCs/>
          <w:sz w:val="20"/>
          <w:szCs w:val="20"/>
          <w:lang w:val="es-ES"/>
        </w:rPr>
      </w:pPr>
      <w:r>
        <w:rPr>
          <w:b/>
          <w:bCs/>
          <w:lang w:val="es-ES"/>
        </w:rPr>
        <w:t>3.2</w:t>
      </w:r>
      <w:r>
        <w:rPr>
          <w:lang w:val="es-ES"/>
        </w:rPr>
        <w:t xml:space="preserve"> </w:t>
      </w:r>
      <w:r>
        <w:rPr>
          <w:lang w:val="es-ES"/>
        </w:rPr>
        <w:tab/>
      </w:r>
      <w:r w:rsidRPr="0087080D">
        <w:rPr>
          <w:rFonts w:ascii="Verdana" w:hAnsi="Verdana"/>
          <w:b/>
          <w:bCs/>
          <w:sz w:val="20"/>
          <w:szCs w:val="20"/>
          <w:lang w:val="es-ES"/>
        </w:rPr>
        <w:t>Eliminación de la vinculación de las estaciones a la GBON</w:t>
      </w:r>
    </w:p>
    <w:p w14:paraId="2B10F440" w14:textId="47EA218D" w:rsidR="00D4732D" w:rsidRPr="002E7790" w:rsidRDefault="003150F2" w:rsidP="00112429">
      <w:pPr>
        <w:tabs>
          <w:tab w:val="left" w:pos="1134"/>
        </w:tabs>
        <w:spacing w:after="240" w:line="240" w:lineRule="exact"/>
        <w:rPr>
          <w:lang w:val="es-ES"/>
        </w:rPr>
      </w:pPr>
      <w:r>
        <w:rPr>
          <w:lang w:val="es-ES"/>
        </w:rPr>
        <w:t xml:space="preserve">Los Miembros que lo deseen podrán eliminar la vinculación de las estaciones a la GBON por las siguientes razones: la estación ya no está operativa; la estación se ha trasladado a otro emplazamiento y se le ha asignado un identificador de estación del WIGOS diferente; los Servicios Meteorológicos e Hidrológicos Nacionales (SMHN) o la organización asociada que opera la estación ya no tiene capacidad para hacerlo de acuerdo con </w:t>
      </w:r>
      <w:r w:rsidR="00100105">
        <w:rPr>
          <w:lang w:val="es-ES"/>
        </w:rPr>
        <w:t>los requisitos</w:t>
      </w:r>
      <w:r>
        <w:rPr>
          <w:lang w:val="es-ES"/>
        </w:rPr>
        <w:t xml:space="preserve"> de la GBON; la estación duplica otras estaciones</w:t>
      </w:r>
      <w:r w:rsidR="00B9184E">
        <w:rPr>
          <w:lang w:val="es-ES"/>
        </w:rPr>
        <w:t xml:space="preserve"> de la</w:t>
      </w:r>
      <w:r>
        <w:rPr>
          <w:lang w:val="es-ES"/>
        </w:rPr>
        <w:t xml:space="preserve"> GBON, etc. En estos casos, las estaciones no se eliminan de </w:t>
      </w:r>
      <w:hyperlink r:id="rId22" w:history="1">
        <w:r w:rsidRPr="006363EB">
          <w:rPr>
            <w:rStyle w:val="Hyperlink"/>
            <w:lang w:val="es-ES"/>
          </w:rPr>
          <w:t>OSCAR/Superficie</w:t>
        </w:r>
      </w:hyperlink>
      <w:r>
        <w:rPr>
          <w:lang w:val="es-ES"/>
        </w:rPr>
        <w:t xml:space="preserve"> ni se suprime su vinculación a la GBON: el coordinador nacional de OSCAR/Superficie solo debe indicar </w:t>
      </w:r>
      <w:hyperlink r:id="rId23" w:history="1">
        <w:r w:rsidRPr="006363EB">
          <w:rPr>
            <w:rStyle w:val="Hyperlink"/>
            <w:lang w:val="es-ES"/>
          </w:rPr>
          <w:t>en dicha herramienta</w:t>
        </w:r>
      </w:hyperlink>
      <w:r>
        <w:rPr>
          <w:lang w:val="es-ES"/>
        </w:rPr>
        <w:t xml:space="preserve"> la fecha en la que cesa la vinculación a la GBON. La eliminación de la vinculación de las estaciones a la GBON también está sujeta a la aprobación de la INFCOM.</w:t>
      </w:r>
    </w:p>
    <w:p w14:paraId="7ED5C36B" w14:textId="79BF58BC" w:rsidR="003C41B9" w:rsidRPr="002E7790" w:rsidRDefault="00625490" w:rsidP="002D6853">
      <w:pPr>
        <w:pStyle w:val="Bodytext"/>
        <w:keepNext/>
        <w:keepLines/>
        <w:spacing w:after="560" w:line="280" w:lineRule="exact"/>
        <w:jc w:val="both"/>
        <w:outlineLvl w:val="1"/>
        <w:rPr>
          <w:rFonts w:eastAsia="Verdana" w:cs="Verdana"/>
          <w:b/>
          <w:bCs/>
          <w:sz w:val="24"/>
          <w:szCs w:val="28"/>
          <w:lang w:val="es-ES"/>
        </w:rPr>
      </w:pPr>
      <w:r>
        <w:rPr>
          <w:b/>
          <w:bCs/>
          <w:lang w:val="es-ES"/>
        </w:rPr>
        <w:t>4.</w:t>
      </w:r>
      <w:r>
        <w:rPr>
          <w:lang w:val="es-ES"/>
        </w:rPr>
        <w:t xml:space="preserve"> </w:t>
      </w:r>
      <w:r>
        <w:rPr>
          <w:lang w:val="es-ES"/>
        </w:rPr>
        <w:tab/>
      </w:r>
      <w:r>
        <w:rPr>
          <w:b/>
          <w:bCs/>
          <w:lang w:val="es-ES"/>
        </w:rPr>
        <w:t>CUMPLIMIENTO DE LAS OBLIGACIONES RELATIVAS A LA GBON</w:t>
      </w:r>
    </w:p>
    <w:p w14:paraId="69B6DC1A" w14:textId="77777777" w:rsidR="00354669" w:rsidRPr="002E7790" w:rsidRDefault="00354669" w:rsidP="00112429">
      <w:pPr>
        <w:pStyle w:val="Bodytext"/>
        <w:keepNext/>
        <w:keepLines/>
        <w:rPr>
          <w:lang w:val="es-ES"/>
        </w:rPr>
      </w:pPr>
      <w:r>
        <w:rPr>
          <w:lang w:val="es-ES"/>
        </w:rPr>
        <w:t>La definición de cumplimiento de las obligaciones relativas a la GBON se divide en dos partes: a) cumplimiento en las estaciones y b) cumplimiento por parte de los Miembros.</w:t>
      </w:r>
    </w:p>
    <w:p w14:paraId="2726B195" w14:textId="77777777" w:rsidR="003C41B9" w:rsidRPr="003530E7" w:rsidRDefault="003C41B9" w:rsidP="00112429">
      <w:pPr>
        <w:pStyle w:val="Bodytext"/>
        <w:numPr>
          <w:ilvl w:val="0"/>
          <w:numId w:val="40"/>
        </w:numPr>
        <w:ind w:left="567" w:hanging="567"/>
      </w:pPr>
      <w:r>
        <w:rPr>
          <w:lang w:val="es-ES"/>
        </w:rPr>
        <w:t>Cumplimiento en las estaciones</w:t>
      </w:r>
    </w:p>
    <w:p w14:paraId="12775655" w14:textId="77777777" w:rsidR="003C41B9" w:rsidRPr="002E7790" w:rsidRDefault="003C41B9" w:rsidP="00112429">
      <w:pPr>
        <w:pStyle w:val="Bodytext"/>
        <w:rPr>
          <w:lang w:val="es-ES"/>
        </w:rPr>
      </w:pPr>
      <w:r>
        <w:rPr>
          <w:lang w:val="es-ES"/>
        </w:rPr>
        <w:t>Se consigue cuando una estación determinada comunica las mediciones requeridas, con la frecuencia temporal y la calidad de notificación requeridas.</w:t>
      </w:r>
    </w:p>
    <w:p w14:paraId="0737AD02" w14:textId="77777777" w:rsidR="003C41B9" w:rsidRPr="002E7790" w:rsidRDefault="003C41B9" w:rsidP="00112429">
      <w:pPr>
        <w:pStyle w:val="Bodytext"/>
        <w:numPr>
          <w:ilvl w:val="0"/>
          <w:numId w:val="40"/>
        </w:numPr>
        <w:ind w:left="567" w:hanging="567"/>
        <w:rPr>
          <w:lang w:val="es-ES"/>
        </w:rPr>
      </w:pPr>
      <w:r>
        <w:rPr>
          <w:lang w:val="es-ES"/>
        </w:rPr>
        <w:t>Cumplimiento por parte de los Miembros</w:t>
      </w:r>
    </w:p>
    <w:p w14:paraId="7DF4ED0E" w14:textId="77777777" w:rsidR="003C41B9" w:rsidRPr="002E7790" w:rsidRDefault="00354669" w:rsidP="00112429">
      <w:pPr>
        <w:pStyle w:val="Bodytext"/>
        <w:rPr>
          <w:lang w:val="es-ES"/>
        </w:rPr>
      </w:pPr>
      <w:r>
        <w:rPr>
          <w:lang w:val="es-ES"/>
        </w:rPr>
        <w:t>Se consigue cuando un Miembro determinado opera un número suficiente de estaciones de la GBON que cumplen los requisitos de densidad horizontal.</w:t>
      </w:r>
    </w:p>
    <w:p w14:paraId="38372F4B" w14:textId="4B156639" w:rsidR="003C41B9" w:rsidRPr="002E7790" w:rsidRDefault="003C41B9" w:rsidP="00112429">
      <w:pPr>
        <w:spacing w:after="240" w:line="240" w:lineRule="exact"/>
        <w:rPr>
          <w:rFonts w:eastAsia="Verdana"/>
          <w:lang w:val="es-ES"/>
        </w:rPr>
      </w:pPr>
      <w:bookmarkStart w:id="13" w:name="_Hlk121562637"/>
      <w:r>
        <w:rPr>
          <w:lang w:val="es-ES"/>
        </w:rPr>
        <w:lastRenderedPageBreak/>
        <w:t xml:space="preserve">Todas las estaciones de la GBON deben aparecer en </w:t>
      </w:r>
      <w:hyperlink r:id="rId24" w:history="1">
        <w:r w:rsidRPr="0014375F">
          <w:rPr>
            <w:rStyle w:val="Hyperlink"/>
            <w:lang w:val="es-ES"/>
          </w:rPr>
          <w:t>OSCAR/Superficie</w:t>
        </w:r>
      </w:hyperlink>
      <w:r>
        <w:rPr>
          <w:lang w:val="es-ES"/>
        </w:rPr>
        <w:t xml:space="preserve"> e incluir la vinculación de la red a la GBON.</w:t>
      </w:r>
    </w:p>
    <w:p w14:paraId="381E17CE" w14:textId="77777777" w:rsidR="003C41B9" w:rsidRPr="002E7790" w:rsidRDefault="003C41B9" w:rsidP="00112429">
      <w:pPr>
        <w:pStyle w:val="Heading3"/>
        <w:spacing w:before="480" w:after="200" w:line="276" w:lineRule="auto"/>
        <w:rPr>
          <w:rFonts w:cstheme="minorHAnsi"/>
          <w:lang w:val="es-ES"/>
        </w:rPr>
      </w:pPr>
      <w:r>
        <w:rPr>
          <w:lang w:val="es-ES"/>
        </w:rPr>
        <w:t>4.1</w:t>
      </w:r>
      <w:r>
        <w:rPr>
          <w:lang w:val="es-ES"/>
        </w:rPr>
        <w:tab/>
        <w:t>Consideraciones generales</w:t>
      </w:r>
    </w:p>
    <w:p w14:paraId="7583FF37" w14:textId="77777777" w:rsidR="003C41B9" w:rsidRPr="002E7790" w:rsidRDefault="003C41B9" w:rsidP="00112429">
      <w:pPr>
        <w:spacing w:after="240" w:line="240" w:lineRule="exact"/>
        <w:rPr>
          <w:rFonts w:cstheme="minorHAnsi"/>
          <w:b/>
          <w:bCs/>
          <w:color w:val="000000"/>
          <w:lang w:val="es-ES"/>
        </w:rPr>
      </w:pPr>
      <w:r>
        <w:rPr>
          <w:b/>
          <w:bCs/>
          <w:lang w:val="es-ES"/>
        </w:rPr>
        <w:t>4.1.1</w:t>
      </w:r>
      <w:r>
        <w:rPr>
          <w:lang w:val="es-ES"/>
        </w:rPr>
        <w:t xml:space="preserve"> </w:t>
      </w:r>
      <w:r>
        <w:rPr>
          <w:lang w:val="es-ES"/>
        </w:rPr>
        <w:tab/>
      </w:r>
      <w:r>
        <w:rPr>
          <w:b/>
          <w:bCs/>
          <w:lang w:val="es-ES"/>
        </w:rPr>
        <w:t>Densidad o cobertura de la red</w:t>
      </w:r>
    </w:p>
    <w:p w14:paraId="63E2E8D3" w14:textId="71C93260" w:rsidR="003C41B9" w:rsidRPr="00444073" w:rsidRDefault="003C41B9" w:rsidP="00112429">
      <w:pPr>
        <w:pStyle w:val="ListParagraph"/>
        <w:spacing w:after="240" w:line="240" w:lineRule="exact"/>
        <w:ind w:left="0"/>
        <w:rPr>
          <w:rFonts w:ascii="Verdana" w:hAnsi="Verdana"/>
          <w:color w:val="000000"/>
          <w:sz w:val="20"/>
          <w:szCs w:val="20"/>
          <w:lang w:val="es-ES"/>
        </w:rPr>
      </w:pPr>
      <w:r w:rsidRPr="00444073">
        <w:rPr>
          <w:rFonts w:ascii="Verdana" w:hAnsi="Verdana"/>
          <w:sz w:val="20"/>
          <w:szCs w:val="20"/>
          <w:lang w:val="es-ES"/>
        </w:rPr>
        <w:t>Las estaciones se asignan a una red que, por su diseño, proporciona la densidad o cobertura horizontal necesaria. Resultaría muy complejo evaluar el cumplimiento de la densidad u horizontalidad mediante el seguimiento periódico de las estaciones que transmiten informes, por lo que el enfoque consistirá en asignar una serie de estaciones que pudiera</w:t>
      </w:r>
      <w:r w:rsidR="00DD4164">
        <w:rPr>
          <w:rFonts w:ascii="Verdana" w:hAnsi="Verdana"/>
          <w:sz w:val="20"/>
          <w:szCs w:val="20"/>
          <w:lang w:val="es-ES"/>
        </w:rPr>
        <w:t>n</w:t>
      </w:r>
      <w:r w:rsidRPr="00444073">
        <w:rPr>
          <w:rFonts w:ascii="Verdana" w:hAnsi="Verdana"/>
          <w:sz w:val="20"/>
          <w:szCs w:val="20"/>
          <w:lang w:val="es-ES"/>
        </w:rPr>
        <w:t xml:space="preserve"> dar lugar a cierta redundancia</w:t>
      </w:r>
      <w:r w:rsidR="00DD4164" w:rsidRPr="00DD4164">
        <w:rPr>
          <w:rFonts w:ascii="Verdana" w:hAnsi="Verdana"/>
          <w:sz w:val="20"/>
          <w:szCs w:val="20"/>
          <w:lang w:val="es-ES"/>
        </w:rPr>
        <w:t xml:space="preserve"> </w:t>
      </w:r>
      <w:r w:rsidR="00DD4164" w:rsidRPr="00444073">
        <w:rPr>
          <w:rFonts w:ascii="Verdana" w:hAnsi="Verdana"/>
          <w:sz w:val="20"/>
          <w:szCs w:val="20"/>
          <w:lang w:val="es-ES"/>
        </w:rPr>
        <w:t>a cada país o territorio</w:t>
      </w:r>
      <w:r w:rsidRPr="00444073">
        <w:rPr>
          <w:rFonts w:ascii="Verdana" w:hAnsi="Verdana"/>
          <w:sz w:val="20"/>
          <w:szCs w:val="20"/>
          <w:lang w:val="es-ES"/>
        </w:rPr>
        <w:t>, y a continuación evaluar si el número de estaciones que cumplen las obligaciones es igual o mayor al número previsto.</w:t>
      </w:r>
    </w:p>
    <w:p w14:paraId="130ACCA2" w14:textId="77777777" w:rsidR="003C41B9" w:rsidRPr="002E7790" w:rsidRDefault="003C41B9" w:rsidP="006F53E1">
      <w:pPr>
        <w:spacing w:after="240" w:line="240" w:lineRule="exact"/>
        <w:rPr>
          <w:b/>
          <w:bCs/>
          <w:color w:val="000000"/>
          <w:lang w:val="es-ES"/>
        </w:rPr>
      </w:pPr>
      <w:r>
        <w:rPr>
          <w:b/>
          <w:bCs/>
          <w:lang w:val="es-ES"/>
        </w:rPr>
        <w:t>4.1.2</w:t>
      </w:r>
      <w:r>
        <w:rPr>
          <w:lang w:val="es-ES"/>
        </w:rPr>
        <w:tab/>
      </w:r>
      <w:r>
        <w:rPr>
          <w:b/>
          <w:bCs/>
          <w:lang w:val="es-ES"/>
        </w:rPr>
        <w:t>Disponibilidad</w:t>
      </w:r>
    </w:p>
    <w:p w14:paraId="20591E7F" w14:textId="77777777" w:rsidR="003C41B9" w:rsidRPr="00444073" w:rsidRDefault="003C41B9" w:rsidP="006F53E1">
      <w:pPr>
        <w:spacing w:after="240" w:line="240" w:lineRule="exact"/>
        <w:rPr>
          <w:lang w:val="es-ES"/>
        </w:rPr>
      </w:pPr>
      <w:r w:rsidRPr="00444073">
        <w:rPr>
          <w:lang w:val="es-ES"/>
        </w:rPr>
        <w:t>Actualmente, el principal indicador para evaluar el cumplimiento de las observaciones de la OMM se basa en la disponibilidad de datos según las siguientes prácticas generalmente aceptadas:</w:t>
      </w:r>
    </w:p>
    <w:p w14:paraId="15F3B818" w14:textId="77777777" w:rsidR="003C41B9" w:rsidRPr="00444073" w:rsidRDefault="003C41B9" w:rsidP="006F53E1">
      <w:pPr>
        <w:pStyle w:val="ListParagraph"/>
        <w:numPr>
          <w:ilvl w:val="0"/>
          <w:numId w:val="41"/>
        </w:numPr>
        <w:spacing w:after="240" w:line="240" w:lineRule="exact"/>
        <w:ind w:left="567" w:hanging="567"/>
        <w:rPr>
          <w:rFonts w:ascii="Verdana" w:eastAsiaTheme="minorEastAsia" w:hAnsi="Verdana"/>
          <w:color w:val="000000"/>
          <w:sz w:val="20"/>
          <w:szCs w:val="20"/>
          <w:lang w:val="es-ES"/>
        </w:rPr>
      </w:pPr>
      <w:r w:rsidRPr="00444073">
        <w:rPr>
          <w:rFonts w:ascii="Verdana" w:hAnsi="Verdana"/>
          <w:sz w:val="20"/>
          <w:szCs w:val="20"/>
          <w:lang w:val="es-ES"/>
        </w:rPr>
        <w:t>La mayoría de las redes de la OMM son monitoreadas por estaciones que informan a un centro internacional de datos (es decir, se trata de informes recibidos y no de observaciones realizadas)</w:t>
      </w:r>
    </w:p>
    <w:p w14:paraId="41EA2EE9" w14:textId="77777777" w:rsidR="003C41B9" w:rsidRPr="00444073" w:rsidRDefault="003C41B9" w:rsidP="006F53E1">
      <w:pPr>
        <w:pStyle w:val="ListParagraph"/>
        <w:numPr>
          <w:ilvl w:val="0"/>
          <w:numId w:val="41"/>
        </w:numPr>
        <w:spacing w:after="240" w:line="240" w:lineRule="exact"/>
        <w:ind w:left="567" w:hanging="567"/>
        <w:rPr>
          <w:rFonts w:ascii="Verdana" w:eastAsiaTheme="minorEastAsia" w:hAnsi="Verdana"/>
          <w:color w:val="000000"/>
          <w:sz w:val="20"/>
          <w:szCs w:val="20"/>
          <w:lang w:val="es-ES"/>
        </w:rPr>
      </w:pPr>
      <w:r w:rsidRPr="00444073">
        <w:rPr>
          <w:rFonts w:ascii="Verdana" w:hAnsi="Verdana"/>
          <w:sz w:val="20"/>
          <w:szCs w:val="20"/>
          <w:lang w:val="es-ES"/>
        </w:rPr>
        <w:t>El control del cumplimiento diario/semanal/mensual tiende a realizarse en función del número total de informes recibidos en un período, en lugar de hacerlo específicamente en función de los requisitos temporales</w:t>
      </w:r>
    </w:p>
    <w:p w14:paraId="50167157" w14:textId="77777777" w:rsidR="003C41B9" w:rsidRPr="00444073" w:rsidRDefault="003C41B9" w:rsidP="006F53E1">
      <w:pPr>
        <w:pStyle w:val="ListParagraph"/>
        <w:numPr>
          <w:ilvl w:val="0"/>
          <w:numId w:val="41"/>
        </w:numPr>
        <w:spacing w:after="240" w:line="240" w:lineRule="exact"/>
        <w:ind w:left="567" w:hanging="567"/>
        <w:rPr>
          <w:rFonts w:ascii="Verdana" w:hAnsi="Verdana"/>
          <w:color w:val="000000"/>
          <w:sz w:val="20"/>
          <w:szCs w:val="20"/>
          <w:lang w:val="es-ES"/>
        </w:rPr>
      </w:pPr>
      <w:r w:rsidRPr="00444073">
        <w:rPr>
          <w:rFonts w:ascii="Verdana" w:hAnsi="Verdana"/>
          <w:sz w:val="20"/>
          <w:szCs w:val="20"/>
          <w:lang w:val="es-ES"/>
        </w:rPr>
        <w:t>La mayoría de los controles solo evalúan si se ha recibido o no un informe, en lugar de evaluar el contenido de este</w:t>
      </w:r>
    </w:p>
    <w:p w14:paraId="08070880" w14:textId="77777777" w:rsidR="003C41B9" w:rsidRPr="00444073" w:rsidRDefault="00C367D0" w:rsidP="006F53E1">
      <w:pPr>
        <w:pStyle w:val="ListParagraph"/>
        <w:numPr>
          <w:ilvl w:val="0"/>
          <w:numId w:val="41"/>
        </w:numPr>
        <w:spacing w:after="240" w:line="240" w:lineRule="exact"/>
        <w:ind w:left="567" w:hanging="567"/>
        <w:rPr>
          <w:rFonts w:ascii="Verdana" w:hAnsi="Verdana"/>
          <w:color w:val="000000"/>
          <w:sz w:val="20"/>
          <w:szCs w:val="20"/>
          <w:lang w:val="es-ES"/>
        </w:rPr>
      </w:pPr>
      <w:r w:rsidRPr="00444073">
        <w:rPr>
          <w:rFonts w:ascii="Verdana" w:hAnsi="Verdana"/>
          <w:sz w:val="20"/>
          <w:szCs w:val="20"/>
          <w:lang w:val="es-ES"/>
        </w:rPr>
        <w:t>La herramienta web del Sistema de Control de la Calidad de los Datos del WIGOS utiliza las estadísticas generadas por los Centros de Monitorización del WIGOS (centros de PNT de todo el mundo) y, por tanto, es capaz de realizar evaluaciones a partir de las distintas variables incluidas en los informes</w:t>
      </w:r>
    </w:p>
    <w:p w14:paraId="10DDCD93" w14:textId="77777777" w:rsidR="003C41B9" w:rsidRPr="00444073" w:rsidRDefault="003C41B9" w:rsidP="006F53E1">
      <w:pPr>
        <w:pStyle w:val="ListParagraph"/>
        <w:numPr>
          <w:ilvl w:val="0"/>
          <w:numId w:val="41"/>
        </w:numPr>
        <w:spacing w:after="240" w:line="240" w:lineRule="exact"/>
        <w:ind w:left="567" w:hanging="567"/>
        <w:rPr>
          <w:rFonts w:ascii="Verdana" w:hAnsi="Verdana"/>
          <w:color w:val="000000"/>
          <w:sz w:val="20"/>
          <w:szCs w:val="20"/>
          <w:lang w:val="es-ES"/>
        </w:rPr>
      </w:pPr>
      <w:r w:rsidRPr="00444073">
        <w:rPr>
          <w:rFonts w:ascii="Verdana" w:hAnsi="Verdana"/>
          <w:sz w:val="20"/>
          <w:szCs w:val="20"/>
          <w:lang w:val="es-ES"/>
        </w:rPr>
        <w:t>No todas las estaciones informarán necesariamente de todas las variables obligatorias de la GBON</w:t>
      </w:r>
    </w:p>
    <w:p w14:paraId="28244749" w14:textId="77777777" w:rsidR="003C41B9" w:rsidRPr="00444073" w:rsidRDefault="003C41B9" w:rsidP="006F53E1">
      <w:pPr>
        <w:pStyle w:val="ListParagraph"/>
        <w:spacing w:after="240" w:line="240" w:lineRule="exact"/>
        <w:ind w:left="0"/>
        <w:rPr>
          <w:rFonts w:ascii="Verdana" w:hAnsi="Verdana"/>
          <w:color w:val="000000"/>
          <w:sz w:val="20"/>
          <w:szCs w:val="20"/>
          <w:lang w:val="es-ES"/>
        </w:rPr>
      </w:pPr>
      <w:r w:rsidRPr="00444073">
        <w:rPr>
          <w:rFonts w:ascii="Verdana" w:hAnsi="Verdana"/>
          <w:sz w:val="20"/>
          <w:szCs w:val="20"/>
          <w:lang w:val="es-ES"/>
        </w:rPr>
        <w:t>Los requisitos para las redes de observación en altitud de la GBON incluyen también criterios relativos al alcance vertical (altura de estallido y resolución), que no siempre pueden evaluarse en las estadísticas de disponibilidad.</w:t>
      </w:r>
    </w:p>
    <w:p w14:paraId="12CF8EEB" w14:textId="77777777" w:rsidR="003C41B9" w:rsidRPr="002E7790" w:rsidRDefault="003C41B9" w:rsidP="006F53E1">
      <w:pPr>
        <w:spacing w:after="240" w:line="240" w:lineRule="exact"/>
        <w:rPr>
          <w:rFonts w:cstheme="minorHAnsi"/>
          <w:b/>
          <w:bCs/>
          <w:color w:val="000000"/>
          <w:lang w:val="es-ES"/>
        </w:rPr>
      </w:pPr>
      <w:r>
        <w:rPr>
          <w:b/>
          <w:bCs/>
          <w:lang w:val="es-ES"/>
        </w:rPr>
        <w:t>4.1.3</w:t>
      </w:r>
      <w:r>
        <w:rPr>
          <w:lang w:val="es-ES"/>
        </w:rPr>
        <w:tab/>
      </w:r>
      <w:r>
        <w:rPr>
          <w:b/>
          <w:bCs/>
          <w:lang w:val="es-ES"/>
        </w:rPr>
        <w:t>Puntualidad</w:t>
      </w:r>
    </w:p>
    <w:p w14:paraId="3FAA8737" w14:textId="20672407" w:rsidR="003C41B9" w:rsidRPr="00444073" w:rsidRDefault="003C41B9" w:rsidP="006F53E1">
      <w:pPr>
        <w:pStyle w:val="ListParagraph"/>
        <w:spacing w:after="240" w:line="240" w:lineRule="exact"/>
        <w:ind w:left="0"/>
        <w:rPr>
          <w:rFonts w:ascii="Verdana" w:hAnsi="Verdana"/>
          <w:sz w:val="20"/>
          <w:szCs w:val="20"/>
          <w:lang w:val="es-ES"/>
        </w:rPr>
      </w:pPr>
      <w:r w:rsidRPr="00444073">
        <w:rPr>
          <w:rFonts w:ascii="Verdana" w:hAnsi="Verdana"/>
          <w:sz w:val="20"/>
          <w:szCs w:val="20"/>
          <w:lang w:val="es-ES"/>
        </w:rPr>
        <w:t xml:space="preserve">Todos los informes deben enviarse en tiempo casi real a través del </w:t>
      </w:r>
      <w:r w:rsidR="00200DDC">
        <w:rPr>
          <w:rFonts w:ascii="Verdana" w:hAnsi="Verdana"/>
          <w:sz w:val="20"/>
          <w:szCs w:val="20"/>
          <w:lang w:val="es-ES"/>
        </w:rPr>
        <w:t>SIO</w:t>
      </w:r>
      <w:r w:rsidRPr="00444073">
        <w:rPr>
          <w:rFonts w:ascii="Verdana" w:hAnsi="Verdana"/>
          <w:sz w:val="20"/>
          <w:szCs w:val="20"/>
          <w:lang w:val="es-ES"/>
        </w:rPr>
        <w:t>. Por ejemplo, si los centros de PNT no reciben los datos en un plazo determinado, estos no pueden utilizarse. A nivel nacional, y para algunas actividades regionales (por ejemplo, la EUMETNET), la puntualidad se ha acordado principalmente con el fin de alinear los períodos de asimilación de las PNT y el límite para utilizar las mediciones.</w:t>
      </w:r>
    </w:p>
    <w:p w14:paraId="0C122B84" w14:textId="625FD3C7" w:rsidR="003C41B9" w:rsidRPr="00444073" w:rsidRDefault="003C41B9" w:rsidP="006F53E1">
      <w:pPr>
        <w:pStyle w:val="ListParagraph"/>
        <w:spacing w:after="240" w:line="240" w:lineRule="exact"/>
        <w:ind w:left="0"/>
        <w:rPr>
          <w:rFonts w:ascii="Verdana" w:hAnsi="Verdana"/>
          <w:sz w:val="20"/>
          <w:szCs w:val="20"/>
          <w:lang w:val="es-ES"/>
        </w:rPr>
      </w:pPr>
      <w:r w:rsidRPr="00444073">
        <w:rPr>
          <w:rFonts w:ascii="Verdana" w:hAnsi="Verdana"/>
          <w:sz w:val="20"/>
          <w:szCs w:val="20"/>
          <w:lang w:val="es-ES"/>
        </w:rPr>
        <w:t xml:space="preserve">Está previsto que </w:t>
      </w:r>
      <w:r w:rsidR="00C07120">
        <w:rPr>
          <w:rFonts w:ascii="Verdana" w:hAnsi="Verdana"/>
          <w:sz w:val="20"/>
          <w:szCs w:val="20"/>
          <w:lang w:val="es-ES"/>
        </w:rPr>
        <w:t xml:space="preserve">la versión 2.0 del SIO </w:t>
      </w:r>
      <w:r w:rsidRPr="00444073">
        <w:rPr>
          <w:rFonts w:ascii="Verdana" w:hAnsi="Verdana"/>
          <w:sz w:val="20"/>
          <w:szCs w:val="20"/>
          <w:lang w:val="es-ES"/>
        </w:rPr>
        <w:t>atribuya una "hora de recepción" a los informes recibidos, lo que permitirá calcular la puntualidad en función de la hora de las observaciones. Cuando esta funcionalidad se implemente, se estudiará incluirla en una futura actualización de la herramienta web del Sistema de Control de la Calidad de los Datos del WIGOS.</w:t>
      </w:r>
    </w:p>
    <w:p w14:paraId="301C14F6" w14:textId="5B319BF0" w:rsidR="003C41B9" w:rsidRPr="00444073" w:rsidRDefault="003C41B9" w:rsidP="006F53E1">
      <w:pPr>
        <w:pStyle w:val="ListParagraph"/>
        <w:spacing w:after="240" w:line="240" w:lineRule="exact"/>
        <w:ind w:left="0"/>
        <w:rPr>
          <w:rFonts w:ascii="Verdana" w:hAnsi="Verdana"/>
          <w:sz w:val="20"/>
          <w:szCs w:val="20"/>
          <w:lang w:val="es-ES"/>
        </w:rPr>
      </w:pPr>
      <w:r w:rsidRPr="00444073">
        <w:rPr>
          <w:rFonts w:ascii="Verdana" w:hAnsi="Verdana"/>
          <w:sz w:val="20"/>
          <w:szCs w:val="20"/>
          <w:lang w:val="es-ES"/>
        </w:rPr>
        <w:t xml:space="preserve">Con independencia del plazo de entrega de un informe, algunas aplicaciones (por ejemplo, </w:t>
      </w:r>
      <w:proofErr w:type="spellStart"/>
      <w:r w:rsidRPr="00444073">
        <w:rPr>
          <w:rFonts w:ascii="Verdana" w:hAnsi="Verdana"/>
          <w:sz w:val="20"/>
          <w:szCs w:val="20"/>
          <w:lang w:val="es-ES"/>
        </w:rPr>
        <w:t>Reanalysis</w:t>
      </w:r>
      <w:proofErr w:type="spellEnd"/>
      <w:r w:rsidRPr="00444073">
        <w:rPr>
          <w:rFonts w:ascii="Verdana" w:hAnsi="Verdana"/>
          <w:sz w:val="20"/>
          <w:szCs w:val="20"/>
          <w:lang w:val="es-ES"/>
        </w:rPr>
        <w:t xml:space="preserve"> and </w:t>
      </w:r>
      <w:proofErr w:type="spellStart"/>
      <w:r w:rsidRPr="00444073">
        <w:rPr>
          <w:rFonts w:ascii="Verdana" w:hAnsi="Verdana"/>
          <w:sz w:val="20"/>
          <w:szCs w:val="20"/>
          <w:lang w:val="es-ES"/>
        </w:rPr>
        <w:t>Climate</w:t>
      </w:r>
      <w:proofErr w:type="spellEnd"/>
      <w:r w:rsidRPr="00444073">
        <w:rPr>
          <w:rFonts w:ascii="Verdana" w:hAnsi="Verdana"/>
          <w:sz w:val="20"/>
          <w:szCs w:val="20"/>
          <w:lang w:val="es-ES"/>
        </w:rPr>
        <w:t xml:space="preserve"> </w:t>
      </w:r>
      <w:proofErr w:type="spellStart"/>
      <w:r w:rsidRPr="00444073">
        <w:rPr>
          <w:rFonts w:ascii="Verdana" w:hAnsi="Verdana"/>
          <w:sz w:val="20"/>
          <w:szCs w:val="20"/>
          <w:lang w:val="es-ES"/>
        </w:rPr>
        <w:t>Monitoring</w:t>
      </w:r>
      <w:proofErr w:type="spellEnd"/>
      <w:r w:rsidRPr="00444073">
        <w:rPr>
          <w:rFonts w:ascii="Verdana" w:hAnsi="Verdana"/>
          <w:sz w:val="20"/>
          <w:szCs w:val="20"/>
          <w:lang w:val="es-ES"/>
        </w:rPr>
        <w:t xml:space="preserve">) pueden seguir utilizando los datos. Sin embargo, algunos </w:t>
      </w:r>
      <w:r w:rsidRPr="00444073">
        <w:rPr>
          <w:rFonts w:ascii="Verdana" w:hAnsi="Verdana"/>
          <w:sz w:val="20"/>
          <w:szCs w:val="20"/>
          <w:lang w:val="es-ES"/>
        </w:rPr>
        <w:lastRenderedPageBreak/>
        <w:t>de los procesos de encaminamiento de datos tienen una hora límite establecida (</w:t>
      </w:r>
      <w:r w:rsidR="00910DBC">
        <w:rPr>
          <w:rFonts w:ascii="Verdana" w:hAnsi="Verdana"/>
          <w:sz w:val="20"/>
          <w:szCs w:val="20"/>
          <w:lang w:val="es-ES"/>
        </w:rPr>
        <w:t>por ejemplo</w:t>
      </w:r>
      <w:r w:rsidRPr="00444073">
        <w:rPr>
          <w:rFonts w:ascii="Verdana" w:hAnsi="Verdana"/>
          <w:sz w:val="20"/>
          <w:szCs w:val="20"/>
          <w:lang w:val="es-ES"/>
        </w:rPr>
        <w:t>, &gt; 24 horas) más allá de la cual el informe se rechaza automáticamente.</w:t>
      </w:r>
    </w:p>
    <w:p w14:paraId="405CE913" w14:textId="77777777" w:rsidR="003C41B9" w:rsidRPr="002E7790" w:rsidRDefault="003C41B9" w:rsidP="006F53E1">
      <w:pPr>
        <w:spacing w:after="240" w:line="240" w:lineRule="exact"/>
        <w:rPr>
          <w:rFonts w:cstheme="minorHAnsi"/>
          <w:b/>
          <w:bCs/>
          <w:color w:val="000000"/>
          <w:lang w:val="es-ES"/>
        </w:rPr>
      </w:pPr>
      <w:r>
        <w:rPr>
          <w:b/>
          <w:bCs/>
          <w:lang w:val="es-ES"/>
        </w:rPr>
        <w:t>4.1.4</w:t>
      </w:r>
      <w:r>
        <w:rPr>
          <w:lang w:val="es-ES"/>
        </w:rPr>
        <w:tab/>
      </w:r>
      <w:r>
        <w:rPr>
          <w:b/>
          <w:bCs/>
          <w:lang w:val="es-ES"/>
        </w:rPr>
        <w:t>Calidad</w:t>
      </w:r>
    </w:p>
    <w:p w14:paraId="47665139" w14:textId="5D7E5E77" w:rsidR="003C41B9" w:rsidRPr="002E7790" w:rsidRDefault="003C41B9" w:rsidP="006F53E1">
      <w:pPr>
        <w:spacing w:after="240" w:line="240" w:lineRule="exact"/>
        <w:rPr>
          <w:rFonts w:cstheme="minorHAnsi"/>
          <w:color w:val="000000"/>
          <w:lang w:val="es-ES"/>
        </w:rPr>
      </w:pPr>
      <w:r>
        <w:rPr>
          <w:lang w:val="es-ES"/>
        </w:rPr>
        <w:t xml:space="preserve">Si los datos transmitidos no son de </w:t>
      </w:r>
      <w:r w:rsidR="00906F87">
        <w:rPr>
          <w:lang w:val="es-ES"/>
        </w:rPr>
        <w:t xml:space="preserve">suficiente </w:t>
      </w:r>
      <w:r>
        <w:rPr>
          <w:lang w:val="es-ES"/>
        </w:rPr>
        <w:t xml:space="preserve">calidad, los sistemas de PNT los rechazarán. Además, si no se registran suficientes metadatos en la base de datos </w:t>
      </w:r>
      <w:hyperlink r:id="rId25" w:history="1">
        <w:r w:rsidRPr="006D336C">
          <w:rPr>
            <w:rStyle w:val="Hyperlink"/>
            <w:lang w:val="es-ES"/>
          </w:rPr>
          <w:t>OSCAR/Superficie</w:t>
        </w:r>
      </w:hyperlink>
      <w:r>
        <w:rPr>
          <w:lang w:val="es-ES"/>
        </w:rPr>
        <w:t>, esto repercutirá directamente en el control de calidad de la GBON.</w:t>
      </w:r>
    </w:p>
    <w:p w14:paraId="3B46D0F2" w14:textId="77777777" w:rsidR="00EC139F" w:rsidRPr="002E7790" w:rsidRDefault="00EC139F" w:rsidP="006F53E1">
      <w:pPr>
        <w:spacing w:after="240" w:line="240" w:lineRule="exact"/>
        <w:rPr>
          <w:rFonts w:cstheme="minorHAnsi"/>
          <w:lang w:val="es-ES"/>
        </w:rPr>
      </w:pPr>
      <w:r>
        <w:rPr>
          <w:lang w:val="es-ES"/>
        </w:rPr>
        <w:t>La mayoría de los informes de las estaciones de observación en superficie (terrestres y marinas) y en altitud (terrestres y marinas) no contienen información sobre la calidad de las mediciones. A menudo, los procesos operativos y los instrumentos empleados tienen una calidad implícita, que se ha evaluado mediante intercomparaciones y campañas de pruebas.</w:t>
      </w:r>
    </w:p>
    <w:p w14:paraId="26CABA91" w14:textId="77777777" w:rsidR="003C41B9" w:rsidRPr="002E7790" w:rsidRDefault="003C41B9" w:rsidP="002D6853">
      <w:pPr>
        <w:spacing w:after="240" w:line="240" w:lineRule="exact"/>
        <w:jc w:val="both"/>
        <w:rPr>
          <w:rFonts w:cstheme="minorHAnsi"/>
          <w:color w:val="000000"/>
          <w:lang w:val="es-ES"/>
        </w:rPr>
      </w:pPr>
      <w:r>
        <w:rPr>
          <w:lang w:val="es-ES"/>
        </w:rPr>
        <w:t>El control de la calidad operativa de estos sistemas se lleva a cabo, sobre todo, como un proceso de evaluación de la calidad mediante la comparación de las mediciones con un antecedente (es decir, un modelo de PNT) y el cálculo de estadísticas de OB-FG (Observación - Campo de primera aproximación) u OB-AN (Observación - Análisis).</w:t>
      </w:r>
    </w:p>
    <w:p w14:paraId="4A6420AC" w14:textId="77777777" w:rsidR="003C41B9" w:rsidRPr="002E7790" w:rsidRDefault="003C41B9" w:rsidP="006F53E1">
      <w:pPr>
        <w:spacing w:after="240" w:line="240" w:lineRule="exact"/>
        <w:rPr>
          <w:rFonts w:cstheme="minorHAnsi"/>
          <w:lang w:val="es-ES"/>
        </w:rPr>
      </w:pPr>
      <w:r>
        <w:rPr>
          <w:lang w:val="es-ES"/>
        </w:rPr>
        <w:t>La asimilación de las PNT también cuenta con un proceso de rechazo para evitar que errores flagrantes repercutan negativamente en la calidad de los productos del modelo. Los criterios de rechazo suelen ser menos rigurosos que los "umbrales" del examen continuo de las necesidades de la OMM, pero pueden resultar útiles para identificar estaciones o plataformas con errores flagrantes.</w:t>
      </w:r>
    </w:p>
    <w:p w14:paraId="7E4631B5" w14:textId="77777777" w:rsidR="003C41B9" w:rsidRPr="002E7790" w:rsidRDefault="003C41B9" w:rsidP="006F53E1">
      <w:pPr>
        <w:spacing w:after="240" w:line="240" w:lineRule="exact"/>
        <w:rPr>
          <w:rFonts w:cstheme="minorHAnsi"/>
          <w:b/>
          <w:bCs/>
          <w:color w:val="000000"/>
          <w:lang w:val="es-ES"/>
        </w:rPr>
      </w:pPr>
      <w:r>
        <w:rPr>
          <w:b/>
          <w:bCs/>
          <w:lang w:val="es-ES"/>
        </w:rPr>
        <w:t>4.1.5</w:t>
      </w:r>
      <w:r>
        <w:rPr>
          <w:lang w:val="es-ES"/>
        </w:rPr>
        <w:tab/>
      </w:r>
      <w:r>
        <w:rPr>
          <w:b/>
          <w:bCs/>
          <w:lang w:val="es-ES"/>
        </w:rPr>
        <w:t>Formato</w:t>
      </w:r>
    </w:p>
    <w:p w14:paraId="65EDFB0A" w14:textId="2C1B3A2E" w:rsidR="003C41B9" w:rsidRPr="002E7790" w:rsidRDefault="003C41B9" w:rsidP="006F53E1">
      <w:pPr>
        <w:spacing w:after="240" w:line="240" w:lineRule="exact"/>
        <w:rPr>
          <w:rFonts w:eastAsia="Verdana" w:cstheme="minorHAnsi"/>
          <w:b/>
          <w:bCs/>
          <w:lang w:val="es-ES"/>
        </w:rPr>
      </w:pPr>
      <w:r>
        <w:rPr>
          <w:lang w:val="es-ES"/>
        </w:rPr>
        <w:t xml:space="preserve">De conformidad con lo dispuesto en el </w:t>
      </w:r>
      <w:hyperlink r:id="rId26" w:history="1">
        <w:r w:rsidRPr="006D336C">
          <w:rPr>
            <w:rStyle w:val="Hyperlink"/>
            <w:i/>
            <w:iCs/>
            <w:lang w:val="es-ES"/>
          </w:rPr>
          <w:t>Manual del Sistema Mundial Integrado de Sistemas de Observación de la OMM</w:t>
        </w:r>
      </w:hyperlink>
      <w:r>
        <w:rPr>
          <w:i/>
          <w:iCs/>
          <w:lang w:val="es-ES"/>
        </w:rPr>
        <w:t xml:space="preserve"> </w:t>
      </w:r>
      <w:r>
        <w:rPr>
          <w:lang w:val="es-ES"/>
        </w:rPr>
        <w:t xml:space="preserve">(OMM-Nº 1160), 2.4.4.1, los Miembros notificarán y facilitarán las observaciones en tiempo real por conducto del </w:t>
      </w:r>
      <w:r w:rsidR="00774B31">
        <w:rPr>
          <w:lang w:val="es-ES"/>
        </w:rPr>
        <w:t>SIO</w:t>
      </w:r>
      <w:r>
        <w:rPr>
          <w:lang w:val="es-ES"/>
        </w:rPr>
        <w:t xml:space="preserve"> en los formatos normalizados especificados en el </w:t>
      </w:r>
      <w:hyperlink r:id="rId27" w:anchor=".Y7_MdXbMI2w" w:history="1">
        <w:r w:rsidRPr="004C7454">
          <w:rPr>
            <w:rStyle w:val="Hyperlink"/>
            <w:i/>
            <w:iCs/>
            <w:lang w:val="es-ES"/>
          </w:rPr>
          <w:t>Manual de claves</w:t>
        </w:r>
      </w:hyperlink>
      <w:r>
        <w:rPr>
          <w:lang w:val="es-ES"/>
        </w:rPr>
        <w:t xml:space="preserve"> (OMM-Nº 306), volúmenes I.1, I.2 e I.3., </w:t>
      </w:r>
      <w:r w:rsidR="009A24F5">
        <w:rPr>
          <w:lang w:val="es-ES"/>
        </w:rPr>
        <w:t>a saber</w:t>
      </w:r>
      <w:r>
        <w:rPr>
          <w:lang w:val="es-ES"/>
        </w:rPr>
        <w:t>, la forma binaria universal de representación de datos meteorológicos (BUFR). Por ejemplo, la resolución vertical mínima de 100-m de las mediciones en altitud requiere que las mediciones se realicen cada 20 s, y esto solo puede conseguirse mediante el código BUFR completo.</w:t>
      </w:r>
    </w:p>
    <w:p w14:paraId="75C4AC6F" w14:textId="77777777" w:rsidR="003C41B9" w:rsidRPr="002E7790" w:rsidRDefault="003C41B9" w:rsidP="006F53E1">
      <w:pPr>
        <w:pStyle w:val="Heading3"/>
        <w:spacing w:before="480" w:after="200" w:line="276" w:lineRule="auto"/>
        <w:rPr>
          <w:rFonts w:cstheme="minorHAnsi"/>
          <w:lang w:val="es-ES"/>
        </w:rPr>
      </w:pPr>
      <w:r>
        <w:rPr>
          <w:lang w:val="es-ES"/>
        </w:rPr>
        <w:t>4.2</w:t>
      </w:r>
      <w:r>
        <w:rPr>
          <w:lang w:val="es-ES"/>
        </w:rPr>
        <w:tab/>
        <w:t>Seguimiento del cumplimiento en las estaciones</w:t>
      </w:r>
    </w:p>
    <w:p w14:paraId="15181D8E" w14:textId="77777777" w:rsidR="003C41B9" w:rsidRPr="002E7790" w:rsidRDefault="003C41B9" w:rsidP="006F53E1">
      <w:pPr>
        <w:pStyle w:val="Bodytext"/>
        <w:rPr>
          <w:b/>
          <w:bCs/>
          <w:lang w:val="es-ES"/>
        </w:rPr>
      </w:pPr>
      <w:r>
        <w:rPr>
          <w:b/>
          <w:bCs/>
          <w:lang w:val="es-ES"/>
        </w:rPr>
        <w:t>4.2.1</w:t>
      </w:r>
      <w:r>
        <w:rPr>
          <w:lang w:val="es-ES"/>
        </w:rPr>
        <w:t xml:space="preserve"> </w:t>
      </w:r>
      <w:r>
        <w:rPr>
          <w:lang w:val="es-ES"/>
        </w:rPr>
        <w:tab/>
      </w:r>
      <w:r>
        <w:rPr>
          <w:b/>
          <w:bCs/>
          <w:lang w:val="es-ES"/>
        </w:rPr>
        <w:t>Criterios de cumplimiento en las estaciones</w:t>
      </w:r>
    </w:p>
    <w:p w14:paraId="5932948B" w14:textId="66CEFB6A" w:rsidR="003C41B9" w:rsidRPr="002E7790" w:rsidRDefault="003C41B9" w:rsidP="006F53E1">
      <w:pPr>
        <w:pStyle w:val="Bodytext"/>
        <w:rPr>
          <w:lang w:val="es-ES"/>
        </w:rPr>
      </w:pPr>
      <w:r>
        <w:rPr>
          <w:lang w:val="es-ES"/>
        </w:rPr>
        <w:t xml:space="preserve">En el cuadro 4.1 se </w:t>
      </w:r>
      <w:r w:rsidR="00290FC6">
        <w:rPr>
          <w:lang w:val="es-ES"/>
        </w:rPr>
        <w:t>muestran</w:t>
      </w:r>
      <w:r>
        <w:rPr>
          <w:lang w:val="es-ES"/>
        </w:rPr>
        <w:t xml:space="preserve"> los criterios que deben cumplir las estaciones o plataformas terrestres o marinas en superficie de la GBON, mientras que en el cuadro 4.2. se muestran los que deben cumplir las estaciones terrestres y marinas en altitud. Los criterios se aplican a cada variable medida definida en la sección 2.1.</w:t>
      </w:r>
    </w:p>
    <w:p w14:paraId="04798F09" w14:textId="3D4C5FD5" w:rsidR="003C41B9" w:rsidRPr="002E7790" w:rsidRDefault="003C41B9" w:rsidP="00D4732D">
      <w:pPr>
        <w:keepNext/>
        <w:keepLines/>
        <w:spacing w:after="240"/>
        <w:jc w:val="center"/>
        <w:rPr>
          <w:rFonts w:eastAsia="Verdana" w:cstheme="minorHAnsi"/>
          <w:b/>
          <w:bCs/>
          <w:lang w:val="es-ES"/>
        </w:rPr>
      </w:pPr>
      <w:r>
        <w:rPr>
          <w:b/>
          <w:bCs/>
          <w:lang w:val="es-ES"/>
        </w:rPr>
        <w:lastRenderedPageBreak/>
        <w:t xml:space="preserve">Cuadro 4.1: Criterios de cumplimiento para las estaciones o plataformas de observación meteorológica terrestres y marinas en superficie </w:t>
      </w:r>
      <w:r w:rsidR="00157E9E">
        <w:rPr>
          <w:b/>
          <w:bCs/>
          <w:lang w:val="es-ES"/>
        </w:rPr>
        <w:t>de la GBON</w:t>
      </w:r>
    </w:p>
    <w:tbl>
      <w:tblPr>
        <w:tblStyle w:val="TableGrid"/>
        <w:tblW w:w="5076"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28"/>
        <w:gridCol w:w="2029"/>
        <w:gridCol w:w="5400"/>
        <w:gridCol w:w="1218"/>
      </w:tblGrid>
      <w:tr w:rsidR="003C41B9" w:rsidRPr="00F97397" w14:paraId="0F36EFAA" w14:textId="77777777" w:rsidTr="00502E41">
        <w:tc>
          <w:tcPr>
            <w:tcW w:w="577" w:type="pct"/>
            <w:shd w:val="clear" w:color="auto" w:fill="F2F2F2" w:themeFill="background1" w:themeFillShade="F2"/>
            <w:vAlign w:val="center"/>
          </w:tcPr>
          <w:p w14:paraId="46710D62" w14:textId="77777777" w:rsidR="003C41B9" w:rsidRPr="00F97397" w:rsidRDefault="003C41B9" w:rsidP="00D4732D">
            <w:pPr>
              <w:keepNext/>
              <w:keepLines/>
              <w:spacing w:before="120" w:after="120"/>
              <w:jc w:val="center"/>
              <w:rPr>
                <w:rFonts w:eastAsia="Verdana" w:cs="Times New Roman"/>
                <w:b/>
                <w:bCs/>
                <w:sz w:val="20"/>
                <w:szCs w:val="20"/>
              </w:rPr>
            </w:pPr>
            <w:r w:rsidRPr="00F97397">
              <w:rPr>
                <w:b/>
                <w:bCs/>
                <w:sz w:val="20"/>
                <w:szCs w:val="20"/>
                <w:lang w:val="es-ES"/>
              </w:rPr>
              <w:t>Símbolo</w:t>
            </w:r>
          </w:p>
        </w:tc>
        <w:tc>
          <w:tcPr>
            <w:tcW w:w="1038" w:type="pct"/>
            <w:shd w:val="clear" w:color="auto" w:fill="F2F2F2" w:themeFill="background1" w:themeFillShade="F2"/>
            <w:vAlign w:val="center"/>
          </w:tcPr>
          <w:p w14:paraId="7A1B3C85" w14:textId="77777777" w:rsidR="003C41B9" w:rsidRPr="00F97397" w:rsidRDefault="003C41B9" w:rsidP="00D4732D">
            <w:pPr>
              <w:keepNext/>
              <w:keepLines/>
              <w:spacing w:before="120" w:after="120"/>
              <w:jc w:val="center"/>
              <w:rPr>
                <w:rFonts w:eastAsia="Verdana" w:cs="Times New Roman"/>
                <w:b/>
                <w:bCs/>
                <w:sz w:val="20"/>
                <w:szCs w:val="20"/>
              </w:rPr>
            </w:pPr>
            <w:r w:rsidRPr="00F97397">
              <w:rPr>
                <w:b/>
                <w:bCs/>
                <w:sz w:val="20"/>
                <w:szCs w:val="20"/>
                <w:lang w:val="es-ES"/>
              </w:rPr>
              <w:t>Nombre</w:t>
            </w:r>
          </w:p>
        </w:tc>
        <w:tc>
          <w:tcPr>
            <w:tcW w:w="2762" w:type="pct"/>
            <w:shd w:val="clear" w:color="auto" w:fill="F2F2F2" w:themeFill="background1" w:themeFillShade="F2"/>
            <w:vAlign w:val="center"/>
          </w:tcPr>
          <w:p w14:paraId="01EDA4F2" w14:textId="77777777" w:rsidR="003C41B9" w:rsidRPr="00F97397" w:rsidRDefault="003C41B9" w:rsidP="00D4732D">
            <w:pPr>
              <w:keepNext/>
              <w:keepLines/>
              <w:spacing w:before="120" w:after="120"/>
              <w:jc w:val="center"/>
              <w:rPr>
                <w:rFonts w:eastAsia="Verdana" w:cs="Times New Roman"/>
                <w:b/>
                <w:bCs/>
                <w:sz w:val="20"/>
                <w:szCs w:val="20"/>
              </w:rPr>
            </w:pPr>
            <w:r w:rsidRPr="00F97397">
              <w:rPr>
                <w:b/>
                <w:bCs/>
                <w:sz w:val="20"/>
                <w:szCs w:val="20"/>
                <w:lang w:val="es-ES"/>
              </w:rPr>
              <w:t>Descripción</w:t>
            </w:r>
          </w:p>
        </w:tc>
        <w:tc>
          <w:tcPr>
            <w:tcW w:w="623" w:type="pct"/>
            <w:shd w:val="clear" w:color="auto" w:fill="F2F2F2" w:themeFill="background1" w:themeFillShade="F2"/>
            <w:vAlign w:val="center"/>
          </w:tcPr>
          <w:p w14:paraId="14DD7750" w14:textId="77777777" w:rsidR="003C41B9" w:rsidRPr="00F97397" w:rsidRDefault="003C41B9" w:rsidP="00D4732D">
            <w:pPr>
              <w:keepNext/>
              <w:keepLines/>
              <w:spacing w:before="120" w:after="120"/>
              <w:jc w:val="center"/>
              <w:rPr>
                <w:rFonts w:eastAsia="Verdana" w:cs="Times New Roman"/>
                <w:b/>
                <w:bCs/>
                <w:sz w:val="20"/>
                <w:szCs w:val="20"/>
              </w:rPr>
            </w:pPr>
            <w:r w:rsidRPr="00F97397">
              <w:rPr>
                <w:b/>
                <w:bCs/>
                <w:sz w:val="20"/>
                <w:szCs w:val="20"/>
                <w:lang w:val="es-ES"/>
              </w:rPr>
              <w:t>Criterios</w:t>
            </w:r>
          </w:p>
        </w:tc>
      </w:tr>
      <w:tr w:rsidR="003C41B9" w:rsidRPr="00F97397" w14:paraId="6AD9C1A3" w14:textId="77777777" w:rsidTr="00502E41">
        <w:tc>
          <w:tcPr>
            <w:tcW w:w="577" w:type="pct"/>
            <w:vAlign w:val="center"/>
          </w:tcPr>
          <w:p w14:paraId="49950EB2" w14:textId="77777777" w:rsidR="003C41B9" w:rsidRPr="00F97397" w:rsidRDefault="003C41B9" w:rsidP="00D4732D">
            <w:pPr>
              <w:keepNext/>
              <w:keepLines/>
              <w:spacing w:before="120" w:after="120"/>
              <w:jc w:val="center"/>
              <w:rPr>
                <w:rFonts w:eastAsia="Verdana" w:cs="Times New Roman"/>
                <w:sz w:val="20"/>
                <w:szCs w:val="20"/>
              </w:rPr>
            </w:pPr>
            <w:r w:rsidRPr="00F97397">
              <w:rPr>
                <w:sz w:val="20"/>
                <w:szCs w:val="20"/>
                <w:lang w:val="es-ES"/>
              </w:rPr>
              <w:t>S</w:t>
            </w:r>
            <w:r w:rsidRPr="00F97397">
              <w:rPr>
                <w:sz w:val="20"/>
                <w:szCs w:val="20"/>
                <w:vertAlign w:val="subscript"/>
                <w:lang w:val="es-ES"/>
              </w:rPr>
              <w:t>SL</w:t>
            </w:r>
            <w:r w:rsidRPr="00F97397">
              <w:rPr>
                <w:sz w:val="20"/>
                <w:szCs w:val="20"/>
                <w:lang w:val="es-ES"/>
              </w:rPr>
              <w:t xml:space="preserve"> 1</w:t>
            </w:r>
          </w:p>
        </w:tc>
        <w:tc>
          <w:tcPr>
            <w:tcW w:w="1038" w:type="pct"/>
            <w:vAlign w:val="center"/>
          </w:tcPr>
          <w:p w14:paraId="76619681" w14:textId="77777777" w:rsidR="003C41B9" w:rsidRPr="00F97397" w:rsidRDefault="003C41B9" w:rsidP="00D4732D">
            <w:pPr>
              <w:keepNext/>
              <w:keepLines/>
              <w:spacing w:before="120" w:after="120"/>
              <w:jc w:val="center"/>
              <w:rPr>
                <w:rFonts w:eastAsia="Verdana" w:cs="Times New Roman"/>
                <w:sz w:val="20"/>
                <w:szCs w:val="20"/>
              </w:rPr>
            </w:pPr>
            <w:r w:rsidRPr="00F97397">
              <w:rPr>
                <w:sz w:val="20"/>
                <w:szCs w:val="20"/>
                <w:lang w:val="es-ES"/>
              </w:rPr>
              <w:t>Disponibilidad mensual (%)</w:t>
            </w:r>
          </w:p>
        </w:tc>
        <w:tc>
          <w:tcPr>
            <w:tcW w:w="2762" w:type="pct"/>
            <w:vAlign w:val="center"/>
          </w:tcPr>
          <w:p w14:paraId="18D7DCE2" w14:textId="6308F500" w:rsidR="003C41B9" w:rsidRPr="00F97397" w:rsidRDefault="003C41B9" w:rsidP="00D4732D">
            <w:pPr>
              <w:keepNext/>
              <w:keepLines/>
              <w:spacing w:before="120" w:after="120"/>
              <w:ind w:left="-112" w:right="-105"/>
              <w:jc w:val="center"/>
              <w:rPr>
                <w:rFonts w:eastAsia="Verdana" w:cs="Times New Roman"/>
                <w:sz w:val="20"/>
                <w:szCs w:val="20"/>
                <w:lang w:val="es-ES"/>
              </w:rPr>
            </w:pPr>
            <w:r w:rsidRPr="00F97397">
              <w:rPr>
                <w:sz w:val="20"/>
                <w:szCs w:val="20"/>
                <w:lang w:val="es-ES"/>
              </w:rPr>
              <w:t>N.º de informes mensuales recibidos</w:t>
            </w:r>
            <w:r w:rsidRPr="00F97397">
              <w:rPr>
                <w:rFonts w:eastAsia="Verdana" w:cs="Times New Roman"/>
                <w:sz w:val="20"/>
                <w:szCs w:val="20"/>
                <w:vertAlign w:val="superscript"/>
                <w:lang w:val="es-ES" w:eastAsia="zh-TW"/>
              </w:rPr>
              <w:footnoteReference w:id="3"/>
            </w:r>
            <w:r w:rsidRPr="00F97397">
              <w:rPr>
                <w:sz w:val="20"/>
                <w:szCs w:val="20"/>
                <w:lang w:val="es-ES"/>
              </w:rPr>
              <w:t xml:space="preserve"> /</w:t>
            </w:r>
            <w:r w:rsidR="00502E41">
              <w:rPr>
                <w:sz w:val="20"/>
                <w:szCs w:val="20"/>
                <w:lang w:val="es-ES"/>
              </w:rPr>
              <w:br/>
            </w:r>
            <w:r w:rsidRPr="00F97397">
              <w:rPr>
                <w:sz w:val="20"/>
                <w:szCs w:val="20"/>
                <w:lang w:val="es-ES"/>
              </w:rPr>
              <w:t>(Días al mes * 24</w:t>
            </w:r>
            <w:r w:rsidRPr="00F97397">
              <w:rPr>
                <w:rStyle w:val="FootnoteReference"/>
                <w:rFonts w:eastAsia="Verdana" w:cs="Times New Roman"/>
                <w:sz w:val="20"/>
                <w:szCs w:val="20"/>
                <w:lang w:val="es-ES" w:eastAsia="zh-TW"/>
              </w:rPr>
              <w:footnoteReference w:id="4"/>
            </w:r>
            <w:r w:rsidRPr="00F97397">
              <w:rPr>
                <w:sz w:val="20"/>
                <w:szCs w:val="20"/>
                <w:lang w:val="es-ES"/>
              </w:rPr>
              <w:t>) Mensual</w:t>
            </w:r>
          </w:p>
        </w:tc>
        <w:tc>
          <w:tcPr>
            <w:tcW w:w="623" w:type="pct"/>
            <w:vAlign w:val="center"/>
          </w:tcPr>
          <w:p w14:paraId="2C41940F" w14:textId="77777777" w:rsidR="003C41B9" w:rsidRPr="00F97397" w:rsidRDefault="003C41B9" w:rsidP="00D4732D">
            <w:pPr>
              <w:keepNext/>
              <w:keepLines/>
              <w:spacing w:before="120" w:after="120"/>
              <w:jc w:val="center"/>
              <w:rPr>
                <w:rFonts w:eastAsia="Verdana" w:cs="Times New Roman"/>
                <w:sz w:val="20"/>
                <w:szCs w:val="20"/>
              </w:rPr>
            </w:pPr>
            <w:r w:rsidRPr="00F97397">
              <w:rPr>
                <w:sz w:val="20"/>
                <w:szCs w:val="20"/>
                <w:lang w:val="es-ES"/>
              </w:rPr>
              <w:t>≥ 80%</w:t>
            </w:r>
          </w:p>
        </w:tc>
      </w:tr>
      <w:tr w:rsidR="003C41B9" w:rsidRPr="00F97397" w14:paraId="21C20A3E" w14:textId="77777777" w:rsidTr="00502E41">
        <w:tc>
          <w:tcPr>
            <w:tcW w:w="577" w:type="pct"/>
            <w:vAlign w:val="center"/>
          </w:tcPr>
          <w:p w14:paraId="3EE68147" w14:textId="77777777" w:rsidR="003C41B9" w:rsidRPr="00F97397" w:rsidRDefault="003C41B9" w:rsidP="00D4732D">
            <w:pPr>
              <w:keepNext/>
              <w:keepLines/>
              <w:spacing w:before="120" w:after="120"/>
              <w:jc w:val="center"/>
              <w:rPr>
                <w:rFonts w:eastAsia="Verdana" w:cs="Times New Roman"/>
                <w:sz w:val="20"/>
                <w:szCs w:val="20"/>
              </w:rPr>
            </w:pPr>
            <w:r w:rsidRPr="00F97397">
              <w:rPr>
                <w:sz w:val="20"/>
                <w:szCs w:val="20"/>
                <w:lang w:val="es-ES"/>
              </w:rPr>
              <w:t>S</w:t>
            </w:r>
            <w:r w:rsidRPr="00F97397">
              <w:rPr>
                <w:sz w:val="20"/>
                <w:szCs w:val="20"/>
                <w:vertAlign w:val="subscript"/>
                <w:lang w:val="es-ES"/>
              </w:rPr>
              <w:t>SL</w:t>
            </w:r>
            <w:r w:rsidRPr="00F97397">
              <w:rPr>
                <w:sz w:val="20"/>
                <w:szCs w:val="20"/>
                <w:lang w:val="es-ES"/>
              </w:rPr>
              <w:t xml:space="preserve"> 2</w:t>
            </w:r>
          </w:p>
        </w:tc>
        <w:tc>
          <w:tcPr>
            <w:tcW w:w="1038" w:type="pct"/>
            <w:vAlign w:val="center"/>
          </w:tcPr>
          <w:p w14:paraId="2BFA4C66" w14:textId="77777777" w:rsidR="003C41B9" w:rsidRPr="00F97397" w:rsidRDefault="003C41B9" w:rsidP="00D4732D">
            <w:pPr>
              <w:keepNext/>
              <w:keepLines/>
              <w:spacing w:before="120" w:after="120"/>
              <w:jc w:val="center"/>
              <w:rPr>
                <w:rFonts w:eastAsia="Verdana" w:cs="Times New Roman"/>
                <w:sz w:val="20"/>
                <w:szCs w:val="20"/>
              </w:rPr>
            </w:pPr>
            <w:r w:rsidRPr="00F97397">
              <w:rPr>
                <w:sz w:val="20"/>
                <w:szCs w:val="20"/>
                <w:lang w:val="es-ES"/>
              </w:rPr>
              <w:t>Puntualidad (%)</w:t>
            </w:r>
          </w:p>
        </w:tc>
        <w:tc>
          <w:tcPr>
            <w:tcW w:w="2762" w:type="pct"/>
            <w:vAlign w:val="center"/>
          </w:tcPr>
          <w:p w14:paraId="3C51A319" w14:textId="77777777" w:rsidR="003C41B9" w:rsidRPr="00F97397" w:rsidRDefault="003C41B9" w:rsidP="00D4732D">
            <w:pPr>
              <w:keepNext/>
              <w:keepLines/>
              <w:spacing w:before="120" w:after="120"/>
              <w:jc w:val="center"/>
              <w:rPr>
                <w:rFonts w:eastAsia="Verdana" w:cs="Times New Roman"/>
                <w:sz w:val="20"/>
                <w:szCs w:val="20"/>
                <w:lang w:val="es-ES"/>
              </w:rPr>
            </w:pPr>
            <w:r w:rsidRPr="00F97397">
              <w:rPr>
                <w:sz w:val="20"/>
                <w:szCs w:val="20"/>
                <w:lang w:val="es-ES"/>
              </w:rPr>
              <w:t>N.º de informes BUFR tardíos</w:t>
            </w:r>
            <w:r w:rsidRPr="00F97397">
              <w:rPr>
                <w:rFonts w:eastAsia="Verdana" w:cs="Times New Roman"/>
                <w:sz w:val="20"/>
                <w:szCs w:val="20"/>
                <w:vertAlign w:val="superscript"/>
                <w:lang w:val="es-ES" w:eastAsia="zh-TW"/>
              </w:rPr>
              <w:footnoteReference w:id="5"/>
            </w:r>
            <w:r w:rsidRPr="00F97397">
              <w:rPr>
                <w:sz w:val="20"/>
                <w:szCs w:val="20"/>
                <w:lang w:val="es-ES"/>
              </w:rPr>
              <w:t xml:space="preserve"> / (Días al mes * 24)</w:t>
            </w:r>
          </w:p>
        </w:tc>
        <w:tc>
          <w:tcPr>
            <w:tcW w:w="623" w:type="pct"/>
            <w:vAlign w:val="center"/>
          </w:tcPr>
          <w:p w14:paraId="22EAB8D8" w14:textId="77777777" w:rsidR="003C41B9" w:rsidRPr="00F97397" w:rsidRDefault="003C41B9" w:rsidP="00D4732D">
            <w:pPr>
              <w:keepNext/>
              <w:keepLines/>
              <w:spacing w:before="120" w:after="120"/>
              <w:jc w:val="center"/>
              <w:rPr>
                <w:rFonts w:eastAsia="Verdana" w:cs="Times New Roman"/>
                <w:sz w:val="20"/>
                <w:szCs w:val="20"/>
              </w:rPr>
            </w:pPr>
            <w:r w:rsidRPr="00F97397">
              <w:rPr>
                <w:sz w:val="20"/>
                <w:szCs w:val="20"/>
                <w:lang w:val="es-ES"/>
              </w:rPr>
              <w:t>&lt; 5%</w:t>
            </w:r>
          </w:p>
        </w:tc>
      </w:tr>
      <w:tr w:rsidR="003C41B9" w:rsidRPr="00F97397" w14:paraId="5E58C697" w14:textId="77777777" w:rsidTr="00502E41">
        <w:tc>
          <w:tcPr>
            <w:tcW w:w="577" w:type="pct"/>
            <w:vAlign w:val="center"/>
          </w:tcPr>
          <w:p w14:paraId="2C0FA2D9" w14:textId="77777777" w:rsidR="003C41B9" w:rsidRPr="00F97397" w:rsidRDefault="003C41B9" w:rsidP="0033072D">
            <w:pPr>
              <w:spacing w:before="120" w:after="120"/>
              <w:jc w:val="center"/>
              <w:rPr>
                <w:rFonts w:eastAsia="Verdana" w:cs="Times New Roman"/>
                <w:sz w:val="20"/>
                <w:szCs w:val="20"/>
              </w:rPr>
            </w:pPr>
            <w:r w:rsidRPr="00F97397">
              <w:rPr>
                <w:sz w:val="20"/>
                <w:szCs w:val="20"/>
                <w:lang w:val="es-ES"/>
              </w:rPr>
              <w:t>S</w:t>
            </w:r>
            <w:r w:rsidRPr="00F97397">
              <w:rPr>
                <w:sz w:val="20"/>
                <w:szCs w:val="20"/>
                <w:vertAlign w:val="subscript"/>
                <w:lang w:val="es-ES"/>
              </w:rPr>
              <w:t>SL</w:t>
            </w:r>
            <w:r w:rsidRPr="00F97397">
              <w:rPr>
                <w:sz w:val="20"/>
                <w:szCs w:val="20"/>
                <w:lang w:val="es-ES"/>
              </w:rPr>
              <w:t xml:space="preserve"> 3</w:t>
            </w:r>
          </w:p>
        </w:tc>
        <w:tc>
          <w:tcPr>
            <w:tcW w:w="1038" w:type="pct"/>
            <w:vAlign w:val="center"/>
          </w:tcPr>
          <w:p w14:paraId="6EE72CC1" w14:textId="77777777" w:rsidR="003C41B9" w:rsidRPr="00F97397" w:rsidRDefault="003C41B9" w:rsidP="0033072D">
            <w:pPr>
              <w:spacing w:before="120" w:after="120"/>
              <w:jc w:val="center"/>
              <w:rPr>
                <w:rFonts w:eastAsia="Verdana" w:cs="Times New Roman"/>
                <w:sz w:val="20"/>
                <w:szCs w:val="20"/>
              </w:rPr>
            </w:pPr>
            <w:r w:rsidRPr="00F97397">
              <w:rPr>
                <w:sz w:val="20"/>
                <w:szCs w:val="20"/>
                <w:lang w:val="es-ES"/>
              </w:rPr>
              <w:t>Calidad mensual (%)</w:t>
            </w:r>
          </w:p>
        </w:tc>
        <w:tc>
          <w:tcPr>
            <w:tcW w:w="2762" w:type="pct"/>
            <w:vAlign w:val="center"/>
          </w:tcPr>
          <w:p w14:paraId="35ACE4B8" w14:textId="3D42FC69" w:rsidR="003C41B9" w:rsidRPr="00F97397" w:rsidRDefault="003C41B9" w:rsidP="0033072D">
            <w:pPr>
              <w:spacing w:before="120" w:after="120"/>
              <w:ind w:left="-112" w:right="-105"/>
              <w:jc w:val="center"/>
              <w:rPr>
                <w:rFonts w:eastAsia="Verdana" w:cs="Times New Roman"/>
                <w:sz w:val="20"/>
                <w:szCs w:val="20"/>
                <w:lang w:val="es-ES"/>
              </w:rPr>
            </w:pPr>
            <w:r w:rsidRPr="00F97397">
              <w:rPr>
                <w:sz w:val="20"/>
                <w:szCs w:val="20"/>
                <w:lang w:val="es-ES"/>
              </w:rPr>
              <w:t>N.º de informes mensuales rechazados</w:t>
            </w:r>
            <w:r w:rsidRPr="00F97397">
              <w:rPr>
                <w:rFonts w:eastAsia="Verdana" w:cs="Times New Roman"/>
                <w:sz w:val="20"/>
                <w:szCs w:val="20"/>
                <w:vertAlign w:val="superscript"/>
                <w:lang w:val="es-ES" w:eastAsia="zh-TW"/>
              </w:rPr>
              <w:footnoteReference w:id="6"/>
            </w:r>
            <w:r w:rsidRPr="00F97397">
              <w:rPr>
                <w:sz w:val="20"/>
                <w:szCs w:val="20"/>
                <w:lang w:val="es-ES"/>
              </w:rPr>
              <w:t xml:space="preserve"> /</w:t>
            </w:r>
            <w:r w:rsidR="00D80BFC">
              <w:rPr>
                <w:sz w:val="20"/>
                <w:szCs w:val="20"/>
                <w:lang w:val="es-ES"/>
              </w:rPr>
              <w:br/>
            </w:r>
            <w:r w:rsidRPr="00F97397">
              <w:rPr>
                <w:sz w:val="20"/>
                <w:szCs w:val="20"/>
                <w:lang w:val="es-ES"/>
              </w:rPr>
              <w:t>(Días al mes * 24)</w:t>
            </w:r>
          </w:p>
        </w:tc>
        <w:tc>
          <w:tcPr>
            <w:tcW w:w="623" w:type="pct"/>
            <w:vAlign w:val="center"/>
          </w:tcPr>
          <w:p w14:paraId="44CF4361" w14:textId="77777777" w:rsidR="003C41B9" w:rsidRPr="00F97397" w:rsidRDefault="003C41B9" w:rsidP="0033072D">
            <w:pPr>
              <w:spacing w:before="120" w:after="120"/>
              <w:jc w:val="center"/>
              <w:rPr>
                <w:rFonts w:eastAsia="Verdana" w:cs="Times New Roman"/>
                <w:sz w:val="20"/>
                <w:szCs w:val="20"/>
              </w:rPr>
            </w:pPr>
            <w:r w:rsidRPr="00F97397">
              <w:rPr>
                <w:sz w:val="20"/>
                <w:szCs w:val="20"/>
                <w:lang w:val="es-ES"/>
              </w:rPr>
              <w:t>&lt; 5%</w:t>
            </w:r>
          </w:p>
        </w:tc>
      </w:tr>
    </w:tbl>
    <w:bookmarkEnd w:id="13"/>
    <w:p w14:paraId="748CCFDA" w14:textId="29C21E4C" w:rsidR="003C41B9" w:rsidRPr="002E7790" w:rsidRDefault="003C41B9" w:rsidP="006337F9">
      <w:pPr>
        <w:spacing w:before="360" w:after="240"/>
        <w:jc w:val="center"/>
        <w:rPr>
          <w:rFonts w:eastAsia="Verdana" w:cstheme="minorHAnsi"/>
          <w:b/>
          <w:bCs/>
          <w:lang w:val="es-ES"/>
        </w:rPr>
      </w:pPr>
      <w:r>
        <w:rPr>
          <w:b/>
          <w:bCs/>
          <w:lang w:val="es-ES"/>
        </w:rPr>
        <w:t>Cuadro 4.2: Criterios de cumplimiento para las estaciones o plataformas de</w:t>
      </w:r>
      <w:r w:rsidR="00662F26">
        <w:rPr>
          <w:b/>
          <w:bCs/>
          <w:lang w:val="es-ES"/>
        </w:rPr>
        <w:t> </w:t>
      </w:r>
      <w:r>
        <w:rPr>
          <w:b/>
          <w:bCs/>
          <w:lang w:val="es-ES"/>
        </w:rPr>
        <w:t xml:space="preserve">observación terrestres y marinas en altitud </w:t>
      </w:r>
      <w:bookmarkStart w:id="14" w:name="_Hlk121751949"/>
      <w:bookmarkEnd w:id="14"/>
      <w:r w:rsidR="00157E9E">
        <w:rPr>
          <w:b/>
          <w:bCs/>
          <w:lang w:val="es-ES"/>
        </w:rPr>
        <w:t>de la GBON</w:t>
      </w:r>
    </w:p>
    <w:tbl>
      <w:tblPr>
        <w:tblStyle w:val="TableGrid"/>
        <w:tblW w:w="515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29"/>
        <w:gridCol w:w="2029"/>
        <w:gridCol w:w="5399"/>
        <w:gridCol w:w="1361"/>
      </w:tblGrid>
      <w:tr w:rsidR="003C41B9" w:rsidRPr="003530E7" w14:paraId="28FF33A6" w14:textId="77777777" w:rsidTr="00662F26">
        <w:tc>
          <w:tcPr>
            <w:tcW w:w="569" w:type="pct"/>
            <w:shd w:val="clear" w:color="auto" w:fill="F2F2F2" w:themeFill="background1" w:themeFillShade="F2"/>
            <w:vAlign w:val="center"/>
          </w:tcPr>
          <w:p w14:paraId="590EC3A6" w14:textId="77777777" w:rsidR="003C41B9" w:rsidRPr="00F97397" w:rsidRDefault="003C41B9" w:rsidP="0033072D">
            <w:pPr>
              <w:spacing w:before="120" w:after="120"/>
              <w:jc w:val="center"/>
              <w:rPr>
                <w:rFonts w:eastAsia="Verdana" w:cs="Times New Roman"/>
                <w:b/>
                <w:bCs/>
                <w:sz w:val="20"/>
                <w:szCs w:val="20"/>
              </w:rPr>
            </w:pPr>
            <w:r w:rsidRPr="00F97397">
              <w:rPr>
                <w:b/>
                <w:bCs/>
                <w:sz w:val="20"/>
                <w:szCs w:val="20"/>
                <w:lang w:val="es-ES"/>
              </w:rPr>
              <w:t>Símbolo</w:t>
            </w:r>
          </w:p>
        </w:tc>
        <w:tc>
          <w:tcPr>
            <w:tcW w:w="1023" w:type="pct"/>
            <w:shd w:val="clear" w:color="auto" w:fill="F2F2F2" w:themeFill="background1" w:themeFillShade="F2"/>
            <w:vAlign w:val="center"/>
          </w:tcPr>
          <w:p w14:paraId="26748F0C" w14:textId="77777777" w:rsidR="003C41B9" w:rsidRPr="00F97397" w:rsidRDefault="003C41B9" w:rsidP="0033072D">
            <w:pPr>
              <w:spacing w:before="120" w:after="120"/>
              <w:jc w:val="center"/>
              <w:rPr>
                <w:rFonts w:eastAsia="Verdana" w:cs="Times New Roman"/>
                <w:b/>
                <w:bCs/>
                <w:sz w:val="20"/>
                <w:szCs w:val="20"/>
              </w:rPr>
            </w:pPr>
            <w:r w:rsidRPr="00F97397">
              <w:rPr>
                <w:b/>
                <w:bCs/>
                <w:sz w:val="20"/>
                <w:szCs w:val="20"/>
                <w:lang w:val="es-ES"/>
              </w:rPr>
              <w:t>Nombre</w:t>
            </w:r>
          </w:p>
        </w:tc>
        <w:tc>
          <w:tcPr>
            <w:tcW w:w="2722" w:type="pct"/>
            <w:shd w:val="clear" w:color="auto" w:fill="F2F2F2" w:themeFill="background1" w:themeFillShade="F2"/>
            <w:vAlign w:val="center"/>
          </w:tcPr>
          <w:p w14:paraId="60A08DBC" w14:textId="77777777" w:rsidR="003C41B9" w:rsidRPr="00F97397" w:rsidRDefault="003C41B9" w:rsidP="0033072D">
            <w:pPr>
              <w:spacing w:before="120" w:after="120"/>
              <w:jc w:val="center"/>
              <w:rPr>
                <w:rFonts w:eastAsia="Verdana" w:cs="Times New Roman"/>
                <w:b/>
                <w:bCs/>
                <w:sz w:val="20"/>
                <w:szCs w:val="20"/>
              </w:rPr>
            </w:pPr>
            <w:r w:rsidRPr="00F97397">
              <w:rPr>
                <w:b/>
                <w:bCs/>
                <w:sz w:val="20"/>
                <w:szCs w:val="20"/>
                <w:lang w:val="es-ES"/>
              </w:rPr>
              <w:t>Descripción</w:t>
            </w:r>
          </w:p>
        </w:tc>
        <w:tc>
          <w:tcPr>
            <w:tcW w:w="686" w:type="pct"/>
            <w:shd w:val="clear" w:color="auto" w:fill="F2F2F2" w:themeFill="background1" w:themeFillShade="F2"/>
            <w:vAlign w:val="center"/>
          </w:tcPr>
          <w:p w14:paraId="0A6A3EFD" w14:textId="77777777" w:rsidR="003C41B9" w:rsidRPr="00F97397" w:rsidRDefault="003C41B9" w:rsidP="0033072D">
            <w:pPr>
              <w:spacing w:before="120" w:after="120"/>
              <w:jc w:val="center"/>
              <w:rPr>
                <w:rFonts w:eastAsia="Verdana" w:cs="Times New Roman"/>
                <w:b/>
                <w:bCs/>
                <w:sz w:val="20"/>
                <w:szCs w:val="20"/>
              </w:rPr>
            </w:pPr>
            <w:r w:rsidRPr="00F97397">
              <w:rPr>
                <w:b/>
                <w:bCs/>
                <w:sz w:val="20"/>
                <w:szCs w:val="20"/>
                <w:lang w:val="es-ES"/>
              </w:rPr>
              <w:t>Criterios</w:t>
            </w:r>
          </w:p>
        </w:tc>
      </w:tr>
      <w:tr w:rsidR="003C41B9" w:rsidRPr="003530E7" w14:paraId="3E85225B" w14:textId="77777777" w:rsidTr="00662F26">
        <w:tc>
          <w:tcPr>
            <w:tcW w:w="569" w:type="pct"/>
            <w:vAlign w:val="center"/>
          </w:tcPr>
          <w:p w14:paraId="616D2292" w14:textId="77777777" w:rsidR="003C41B9" w:rsidRPr="00F97397" w:rsidRDefault="003C41B9" w:rsidP="0033072D">
            <w:pPr>
              <w:spacing w:before="120" w:after="120"/>
              <w:jc w:val="center"/>
              <w:rPr>
                <w:rFonts w:eastAsia="Verdana" w:cs="Times New Roman"/>
                <w:sz w:val="20"/>
                <w:szCs w:val="20"/>
              </w:rPr>
            </w:pPr>
            <w:r w:rsidRPr="00F97397">
              <w:rPr>
                <w:sz w:val="20"/>
                <w:szCs w:val="20"/>
                <w:lang w:val="es-ES"/>
              </w:rPr>
              <w:t>S</w:t>
            </w:r>
            <w:r w:rsidRPr="00F97397">
              <w:rPr>
                <w:sz w:val="20"/>
                <w:szCs w:val="20"/>
                <w:vertAlign w:val="subscript"/>
                <w:lang w:val="es-ES"/>
              </w:rPr>
              <w:t>UA</w:t>
            </w:r>
            <w:r w:rsidRPr="00F97397">
              <w:rPr>
                <w:sz w:val="20"/>
                <w:szCs w:val="20"/>
                <w:lang w:val="es-ES"/>
              </w:rPr>
              <w:t xml:space="preserve"> 1</w:t>
            </w:r>
          </w:p>
        </w:tc>
        <w:tc>
          <w:tcPr>
            <w:tcW w:w="1023" w:type="pct"/>
            <w:vAlign w:val="center"/>
          </w:tcPr>
          <w:p w14:paraId="32D42EE1" w14:textId="6FFD4552" w:rsidR="003C41B9" w:rsidRPr="00F97397" w:rsidRDefault="003C41B9" w:rsidP="0033072D">
            <w:pPr>
              <w:spacing w:before="120" w:after="120"/>
              <w:jc w:val="center"/>
              <w:rPr>
                <w:rFonts w:eastAsia="Verdana" w:cs="Times New Roman"/>
                <w:sz w:val="20"/>
                <w:szCs w:val="20"/>
              </w:rPr>
            </w:pPr>
            <w:r w:rsidRPr="00F97397">
              <w:rPr>
                <w:sz w:val="20"/>
                <w:szCs w:val="20"/>
                <w:lang w:val="es-ES"/>
              </w:rPr>
              <w:t>Disponibilidad mensual (%)</w:t>
            </w:r>
          </w:p>
        </w:tc>
        <w:tc>
          <w:tcPr>
            <w:tcW w:w="2722" w:type="pct"/>
            <w:vAlign w:val="center"/>
          </w:tcPr>
          <w:p w14:paraId="1117408A" w14:textId="177CB1DE" w:rsidR="003C41B9" w:rsidRPr="00F97397" w:rsidRDefault="003C41B9" w:rsidP="0033072D">
            <w:pPr>
              <w:spacing w:before="120" w:after="120"/>
              <w:ind w:left="-110" w:right="-110"/>
              <w:jc w:val="center"/>
              <w:rPr>
                <w:rFonts w:eastAsia="Verdana" w:cs="Times New Roman"/>
                <w:sz w:val="20"/>
                <w:szCs w:val="20"/>
                <w:lang w:val="es-ES"/>
              </w:rPr>
            </w:pPr>
            <w:r w:rsidRPr="00F97397">
              <w:rPr>
                <w:sz w:val="20"/>
                <w:szCs w:val="20"/>
                <w:lang w:val="es-ES"/>
              </w:rPr>
              <w:t>N.º de informes mensuales de perfiles recibidos (hasta 30 hPa)</w:t>
            </w:r>
            <w:r w:rsidRPr="00F97397">
              <w:rPr>
                <w:rStyle w:val="FootnoteReference"/>
                <w:rFonts w:eastAsia="Verdana" w:cs="Times New Roman"/>
                <w:sz w:val="20"/>
                <w:szCs w:val="20"/>
                <w:lang w:val="es-ES" w:eastAsia="zh-TW"/>
              </w:rPr>
              <w:footnoteReference w:id="7"/>
            </w:r>
            <w:r w:rsidRPr="00F97397">
              <w:rPr>
                <w:sz w:val="20"/>
                <w:szCs w:val="20"/>
                <w:lang w:val="es-ES"/>
              </w:rPr>
              <w:t xml:space="preserve"> / (Días al mes * 2)</w:t>
            </w:r>
            <w:r w:rsidRPr="00F97397">
              <w:rPr>
                <w:rStyle w:val="FootnoteReference"/>
                <w:rFonts w:eastAsia="Verdana" w:cs="Times New Roman"/>
                <w:sz w:val="20"/>
                <w:szCs w:val="20"/>
                <w:lang w:val="es-ES" w:eastAsia="zh-TW"/>
              </w:rPr>
              <w:footnoteReference w:id="8"/>
            </w:r>
          </w:p>
        </w:tc>
        <w:tc>
          <w:tcPr>
            <w:tcW w:w="686" w:type="pct"/>
            <w:vAlign w:val="center"/>
          </w:tcPr>
          <w:p w14:paraId="44139698" w14:textId="77777777" w:rsidR="003C41B9" w:rsidRPr="00F97397" w:rsidRDefault="003C41B9" w:rsidP="0033072D">
            <w:pPr>
              <w:spacing w:before="120" w:after="120"/>
              <w:jc w:val="center"/>
              <w:rPr>
                <w:rFonts w:eastAsia="Verdana" w:cs="Times New Roman"/>
                <w:sz w:val="20"/>
                <w:szCs w:val="20"/>
              </w:rPr>
            </w:pPr>
            <w:r w:rsidRPr="00F97397">
              <w:rPr>
                <w:sz w:val="20"/>
                <w:szCs w:val="20"/>
                <w:lang w:val="es-ES"/>
              </w:rPr>
              <w:t>≥ 80%</w:t>
            </w:r>
          </w:p>
        </w:tc>
      </w:tr>
      <w:tr w:rsidR="003C41B9" w:rsidRPr="003530E7" w14:paraId="5E2E39D9" w14:textId="77777777" w:rsidTr="00662F26">
        <w:tc>
          <w:tcPr>
            <w:tcW w:w="569" w:type="pct"/>
            <w:vAlign w:val="center"/>
          </w:tcPr>
          <w:p w14:paraId="1483CE6F" w14:textId="77777777" w:rsidR="003C41B9" w:rsidRPr="00F97397" w:rsidRDefault="003C41B9" w:rsidP="0033072D">
            <w:pPr>
              <w:spacing w:before="120" w:after="120"/>
              <w:jc w:val="center"/>
              <w:rPr>
                <w:rFonts w:eastAsia="Verdana" w:cs="Times New Roman"/>
                <w:sz w:val="20"/>
                <w:szCs w:val="20"/>
              </w:rPr>
            </w:pPr>
            <w:r w:rsidRPr="00F97397">
              <w:rPr>
                <w:sz w:val="20"/>
                <w:szCs w:val="20"/>
                <w:lang w:val="es-ES"/>
              </w:rPr>
              <w:t>S</w:t>
            </w:r>
            <w:r w:rsidRPr="00F97397">
              <w:rPr>
                <w:sz w:val="20"/>
                <w:szCs w:val="20"/>
                <w:vertAlign w:val="subscript"/>
                <w:lang w:val="es-ES"/>
              </w:rPr>
              <w:t>UA</w:t>
            </w:r>
            <w:r w:rsidRPr="00F97397">
              <w:rPr>
                <w:sz w:val="20"/>
                <w:szCs w:val="20"/>
                <w:lang w:val="es-ES"/>
              </w:rPr>
              <w:t xml:space="preserve"> 2</w:t>
            </w:r>
          </w:p>
        </w:tc>
        <w:tc>
          <w:tcPr>
            <w:tcW w:w="1023" w:type="pct"/>
            <w:vAlign w:val="center"/>
          </w:tcPr>
          <w:p w14:paraId="1F9335D8" w14:textId="77777777" w:rsidR="003C41B9" w:rsidRPr="00F97397" w:rsidRDefault="003C41B9" w:rsidP="0033072D">
            <w:pPr>
              <w:spacing w:before="120" w:after="120"/>
              <w:jc w:val="center"/>
              <w:rPr>
                <w:rFonts w:eastAsia="Verdana" w:cs="Times New Roman"/>
                <w:sz w:val="20"/>
                <w:szCs w:val="20"/>
              </w:rPr>
            </w:pPr>
            <w:r w:rsidRPr="00F97397">
              <w:rPr>
                <w:sz w:val="20"/>
                <w:szCs w:val="20"/>
                <w:lang w:val="es-ES"/>
              </w:rPr>
              <w:t>Resolución vertical</w:t>
            </w:r>
            <w:r w:rsidRPr="00F97397">
              <w:rPr>
                <w:rStyle w:val="FootnoteReference"/>
                <w:rFonts w:eastAsia="Verdana" w:cs="Times New Roman"/>
                <w:sz w:val="20"/>
                <w:szCs w:val="20"/>
                <w:lang w:val="es-ES" w:eastAsia="zh-TW"/>
              </w:rPr>
              <w:footnoteReference w:id="9"/>
            </w:r>
            <w:r w:rsidRPr="00F97397">
              <w:rPr>
                <w:sz w:val="20"/>
                <w:szCs w:val="20"/>
                <w:lang w:val="es-ES"/>
              </w:rPr>
              <w:t xml:space="preserve"> (Sí/No)</w:t>
            </w:r>
          </w:p>
        </w:tc>
        <w:tc>
          <w:tcPr>
            <w:tcW w:w="2722" w:type="pct"/>
            <w:vAlign w:val="center"/>
          </w:tcPr>
          <w:p w14:paraId="6D8557D0" w14:textId="4A9EB23A" w:rsidR="003C41B9" w:rsidRPr="00F97397" w:rsidRDefault="003C41B9" w:rsidP="0033072D">
            <w:pPr>
              <w:spacing w:before="120" w:after="120"/>
              <w:jc w:val="center"/>
              <w:rPr>
                <w:rFonts w:eastAsia="Verdana" w:cs="Times New Roman"/>
                <w:sz w:val="20"/>
                <w:szCs w:val="20"/>
                <w:lang w:val="es-ES"/>
              </w:rPr>
            </w:pPr>
            <w:r w:rsidRPr="00F97397">
              <w:rPr>
                <w:sz w:val="20"/>
                <w:szCs w:val="20"/>
                <w:lang w:val="es-ES"/>
              </w:rPr>
              <w:t>La resolución vertical es de al menos 100 m</w:t>
            </w:r>
          </w:p>
        </w:tc>
        <w:tc>
          <w:tcPr>
            <w:tcW w:w="686" w:type="pct"/>
            <w:vAlign w:val="center"/>
          </w:tcPr>
          <w:p w14:paraId="2F86B72E" w14:textId="77777777" w:rsidR="003C41B9" w:rsidRPr="00F97397" w:rsidRDefault="003C41B9" w:rsidP="0033072D">
            <w:pPr>
              <w:spacing w:before="120" w:after="120"/>
              <w:jc w:val="center"/>
              <w:rPr>
                <w:rFonts w:eastAsia="Verdana" w:cs="Times New Roman"/>
                <w:sz w:val="20"/>
                <w:szCs w:val="20"/>
              </w:rPr>
            </w:pPr>
            <w:r w:rsidRPr="00F97397">
              <w:rPr>
                <w:sz w:val="20"/>
                <w:szCs w:val="20"/>
                <w:lang w:val="es-ES"/>
              </w:rPr>
              <w:t>Sí</w:t>
            </w:r>
          </w:p>
        </w:tc>
      </w:tr>
      <w:tr w:rsidR="003C41B9" w:rsidRPr="003530E7" w14:paraId="0CD9D42B" w14:textId="77777777" w:rsidTr="00662F26">
        <w:tc>
          <w:tcPr>
            <w:tcW w:w="569" w:type="pct"/>
            <w:vAlign w:val="center"/>
          </w:tcPr>
          <w:p w14:paraId="2E6E2761" w14:textId="77777777" w:rsidR="003C41B9" w:rsidRPr="00F97397" w:rsidRDefault="003C41B9" w:rsidP="0033072D">
            <w:pPr>
              <w:spacing w:before="120" w:after="120"/>
              <w:jc w:val="center"/>
              <w:rPr>
                <w:rFonts w:eastAsia="Verdana" w:cs="Times New Roman"/>
                <w:sz w:val="20"/>
                <w:szCs w:val="20"/>
              </w:rPr>
            </w:pPr>
            <w:r w:rsidRPr="00F97397">
              <w:rPr>
                <w:sz w:val="20"/>
                <w:szCs w:val="20"/>
                <w:lang w:val="es-ES"/>
              </w:rPr>
              <w:t>S</w:t>
            </w:r>
            <w:r w:rsidRPr="00F97397">
              <w:rPr>
                <w:sz w:val="20"/>
                <w:szCs w:val="20"/>
                <w:vertAlign w:val="subscript"/>
                <w:lang w:val="es-ES"/>
              </w:rPr>
              <w:t>UA</w:t>
            </w:r>
            <w:r w:rsidRPr="00F97397">
              <w:rPr>
                <w:sz w:val="20"/>
                <w:szCs w:val="20"/>
                <w:lang w:val="es-ES"/>
              </w:rPr>
              <w:t xml:space="preserve"> 3</w:t>
            </w:r>
          </w:p>
        </w:tc>
        <w:tc>
          <w:tcPr>
            <w:tcW w:w="1023" w:type="pct"/>
            <w:vAlign w:val="center"/>
          </w:tcPr>
          <w:p w14:paraId="52E97D25" w14:textId="77777777" w:rsidR="003C41B9" w:rsidRPr="00F97397" w:rsidRDefault="003C41B9" w:rsidP="0033072D">
            <w:pPr>
              <w:spacing w:before="120" w:after="120"/>
              <w:jc w:val="center"/>
              <w:rPr>
                <w:rFonts w:eastAsia="Verdana" w:cs="Times New Roman"/>
                <w:sz w:val="20"/>
                <w:szCs w:val="20"/>
              </w:rPr>
            </w:pPr>
            <w:r w:rsidRPr="00F97397">
              <w:rPr>
                <w:sz w:val="20"/>
                <w:szCs w:val="20"/>
                <w:lang w:val="es-ES"/>
              </w:rPr>
              <w:t>Puntualidad (%)</w:t>
            </w:r>
          </w:p>
        </w:tc>
        <w:tc>
          <w:tcPr>
            <w:tcW w:w="2722" w:type="pct"/>
            <w:vAlign w:val="center"/>
          </w:tcPr>
          <w:p w14:paraId="6272C42A" w14:textId="282060D7" w:rsidR="003C41B9" w:rsidRPr="00F97397" w:rsidRDefault="003C41B9" w:rsidP="0033072D">
            <w:pPr>
              <w:spacing w:before="120" w:after="120"/>
              <w:jc w:val="center"/>
              <w:rPr>
                <w:rFonts w:eastAsia="Verdana" w:cs="Times New Roman"/>
                <w:sz w:val="20"/>
                <w:szCs w:val="20"/>
                <w:lang w:val="es-ES"/>
              </w:rPr>
            </w:pPr>
            <w:r w:rsidRPr="00F97397">
              <w:rPr>
                <w:sz w:val="20"/>
                <w:szCs w:val="20"/>
                <w:lang w:val="es-ES"/>
              </w:rPr>
              <w:t>N.º de informes BUFR o TEMP tardíos</w:t>
            </w:r>
            <w:r w:rsidRPr="00F97397">
              <w:rPr>
                <w:sz w:val="20"/>
                <w:szCs w:val="20"/>
                <w:vertAlign w:val="superscript"/>
                <w:lang w:val="es-ES" w:eastAsia="zh-TW"/>
              </w:rPr>
              <w:footnoteReference w:id="10"/>
            </w:r>
            <w:r w:rsidRPr="00F97397">
              <w:rPr>
                <w:sz w:val="20"/>
                <w:szCs w:val="20"/>
                <w:lang w:val="es-ES"/>
              </w:rPr>
              <w:t xml:space="preserve"> /</w:t>
            </w:r>
            <w:r w:rsidR="00662F26">
              <w:rPr>
                <w:sz w:val="20"/>
                <w:szCs w:val="20"/>
                <w:lang w:val="es-ES"/>
              </w:rPr>
              <w:br/>
            </w:r>
            <w:r w:rsidRPr="00F97397">
              <w:rPr>
                <w:sz w:val="20"/>
                <w:szCs w:val="20"/>
                <w:lang w:val="es-ES"/>
              </w:rPr>
              <w:t>(Días al mes * 2)</w:t>
            </w:r>
          </w:p>
        </w:tc>
        <w:tc>
          <w:tcPr>
            <w:tcW w:w="686" w:type="pct"/>
            <w:vAlign w:val="center"/>
          </w:tcPr>
          <w:p w14:paraId="67DC6349" w14:textId="77777777" w:rsidR="003C41B9" w:rsidRPr="00F97397" w:rsidRDefault="003C41B9" w:rsidP="0033072D">
            <w:pPr>
              <w:spacing w:before="120" w:after="120"/>
              <w:jc w:val="center"/>
              <w:rPr>
                <w:rFonts w:eastAsia="Verdana" w:cs="Times New Roman"/>
                <w:sz w:val="20"/>
                <w:szCs w:val="20"/>
              </w:rPr>
            </w:pPr>
            <w:r w:rsidRPr="00F97397">
              <w:rPr>
                <w:sz w:val="20"/>
                <w:szCs w:val="20"/>
                <w:lang w:val="es-ES"/>
              </w:rPr>
              <w:t>&lt; 5%</w:t>
            </w:r>
          </w:p>
        </w:tc>
      </w:tr>
      <w:tr w:rsidR="003C41B9" w:rsidRPr="003530E7" w14:paraId="71BF20B1" w14:textId="77777777" w:rsidTr="00662F26">
        <w:tc>
          <w:tcPr>
            <w:tcW w:w="569" w:type="pct"/>
            <w:vAlign w:val="center"/>
          </w:tcPr>
          <w:p w14:paraId="1BAD37A3" w14:textId="77777777" w:rsidR="003C41B9" w:rsidRPr="00F97397" w:rsidRDefault="003C41B9" w:rsidP="0033072D">
            <w:pPr>
              <w:spacing w:before="120" w:after="120"/>
              <w:jc w:val="center"/>
              <w:rPr>
                <w:rFonts w:eastAsia="Verdana" w:cs="Times New Roman"/>
                <w:sz w:val="20"/>
                <w:szCs w:val="20"/>
              </w:rPr>
            </w:pPr>
            <w:r w:rsidRPr="00F97397">
              <w:rPr>
                <w:sz w:val="20"/>
                <w:szCs w:val="20"/>
                <w:lang w:val="es-ES"/>
              </w:rPr>
              <w:t>S</w:t>
            </w:r>
            <w:r w:rsidRPr="00F97397">
              <w:rPr>
                <w:sz w:val="20"/>
                <w:szCs w:val="20"/>
                <w:vertAlign w:val="subscript"/>
                <w:lang w:val="es-ES"/>
              </w:rPr>
              <w:t>UA</w:t>
            </w:r>
            <w:r w:rsidRPr="00F97397">
              <w:rPr>
                <w:sz w:val="20"/>
                <w:szCs w:val="20"/>
                <w:lang w:val="es-ES"/>
              </w:rPr>
              <w:t xml:space="preserve"> 4</w:t>
            </w:r>
          </w:p>
        </w:tc>
        <w:tc>
          <w:tcPr>
            <w:tcW w:w="1023" w:type="pct"/>
            <w:vAlign w:val="center"/>
          </w:tcPr>
          <w:p w14:paraId="5F3C1CAA" w14:textId="16F3ABD2" w:rsidR="003C41B9" w:rsidRPr="00F97397" w:rsidRDefault="003C41B9" w:rsidP="0033072D">
            <w:pPr>
              <w:spacing w:before="120" w:after="120"/>
              <w:jc w:val="center"/>
              <w:rPr>
                <w:rFonts w:eastAsia="Verdana" w:cs="Times New Roman"/>
                <w:sz w:val="20"/>
                <w:szCs w:val="20"/>
              </w:rPr>
            </w:pPr>
            <w:r w:rsidRPr="00F97397">
              <w:rPr>
                <w:sz w:val="20"/>
                <w:szCs w:val="20"/>
                <w:lang w:val="es-ES"/>
              </w:rPr>
              <w:t>Calidad mensual (%)</w:t>
            </w:r>
          </w:p>
        </w:tc>
        <w:tc>
          <w:tcPr>
            <w:tcW w:w="2722" w:type="pct"/>
            <w:vAlign w:val="center"/>
          </w:tcPr>
          <w:p w14:paraId="2024854B" w14:textId="2EEF55CD" w:rsidR="003C41B9" w:rsidRPr="00F97397" w:rsidRDefault="003C41B9" w:rsidP="0033072D">
            <w:pPr>
              <w:spacing w:before="120" w:after="120"/>
              <w:ind w:left="-111" w:right="-105"/>
              <w:jc w:val="center"/>
              <w:rPr>
                <w:rFonts w:eastAsia="Verdana" w:cs="Times New Roman"/>
                <w:sz w:val="20"/>
                <w:szCs w:val="20"/>
                <w:lang w:val="es-ES"/>
              </w:rPr>
            </w:pPr>
            <w:r w:rsidRPr="00F97397">
              <w:rPr>
                <w:sz w:val="20"/>
                <w:szCs w:val="20"/>
                <w:lang w:val="es-ES"/>
              </w:rPr>
              <w:t>N.º de informes mensuales rechazados</w:t>
            </w:r>
            <w:r w:rsidRPr="00F97397">
              <w:rPr>
                <w:sz w:val="20"/>
                <w:szCs w:val="20"/>
                <w:vertAlign w:val="superscript"/>
                <w:lang w:val="es-ES" w:eastAsia="zh-TW"/>
              </w:rPr>
              <w:footnoteReference w:id="11"/>
            </w:r>
            <w:r w:rsidRPr="00F97397">
              <w:rPr>
                <w:sz w:val="20"/>
                <w:szCs w:val="20"/>
                <w:lang w:val="es-ES"/>
              </w:rPr>
              <w:t xml:space="preserve"> /</w:t>
            </w:r>
            <w:r w:rsidR="00662F26">
              <w:rPr>
                <w:sz w:val="20"/>
                <w:szCs w:val="20"/>
                <w:lang w:val="es-ES"/>
              </w:rPr>
              <w:br/>
            </w:r>
            <w:r w:rsidRPr="00F97397">
              <w:rPr>
                <w:sz w:val="20"/>
                <w:szCs w:val="20"/>
                <w:lang w:val="es-ES"/>
              </w:rPr>
              <w:t>(Días al mes * 2)</w:t>
            </w:r>
          </w:p>
        </w:tc>
        <w:tc>
          <w:tcPr>
            <w:tcW w:w="686" w:type="pct"/>
            <w:vAlign w:val="center"/>
          </w:tcPr>
          <w:p w14:paraId="341A586D" w14:textId="77777777" w:rsidR="003C41B9" w:rsidRPr="00F97397" w:rsidRDefault="003C41B9" w:rsidP="0033072D">
            <w:pPr>
              <w:spacing w:before="120" w:after="120"/>
              <w:jc w:val="center"/>
              <w:rPr>
                <w:rFonts w:eastAsia="Verdana" w:cs="Times New Roman"/>
                <w:sz w:val="20"/>
                <w:szCs w:val="20"/>
              </w:rPr>
            </w:pPr>
            <w:r w:rsidRPr="00F97397">
              <w:rPr>
                <w:sz w:val="20"/>
                <w:szCs w:val="20"/>
                <w:lang w:val="es-ES"/>
              </w:rPr>
              <w:t>&lt; 5%</w:t>
            </w:r>
          </w:p>
        </w:tc>
      </w:tr>
    </w:tbl>
    <w:p w14:paraId="4C561100" w14:textId="3921DAB0" w:rsidR="003C41B9" w:rsidRPr="002E7790" w:rsidRDefault="003C41B9" w:rsidP="00F81A15">
      <w:pPr>
        <w:pStyle w:val="Bodytext"/>
        <w:keepNext/>
        <w:keepLines/>
        <w:spacing w:before="240"/>
        <w:rPr>
          <w:lang w:val="es-ES"/>
        </w:rPr>
      </w:pPr>
      <w:r>
        <w:rPr>
          <w:b/>
          <w:bCs/>
          <w:lang w:val="es-ES"/>
        </w:rPr>
        <w:lastRenderedPageBreak/>
        <w:t>4.2.2</w:t>
      </w:r>
      <w:r>
        <w:rPr>
          <w:lang w:val="es-ES"/>
        </w:rPr>
        <w:t xml:space="preserve"> </w:t>
      </w:r>
      <w:r>
        <w:rPr>
          <w:lang w:val="es-ES"/>
        </w:rPr>
        <w:tab/>
      </w:r>
      <w:r>
        <w:rPr>
          <w:b/>
          <w:bCs/>
          <w:lang w:val="es-ES"/>
        </w:rPr>
        <w:t xml:space="preserve">Evaluación del cumplimiento en las estaciones </w:t>
      </w:r>
      <w:r w:rsidR="00527870">
        <w:rPr>
          <w:b/>
          <w:bCs/>
          <w:lang w:val="es-ES"/>
        </w:rPr>
        <w:t>de la GBON</w:t>
      </w:r>
    </w:p>
    <w:p w14:paraId="1CD6F9A7" w14:textId="40EDFB78" w:rsidR="003C41B9" w:rsidRPr="002E7790" w:rsidRDefault="003C41B9" w:rsidP="00F81A15">
      <w:pPr>
        <w:keepNext/>
        <w:keepLines/>
        <w:spacing w:after="240" w:line="240" w:lineRule="exact"/>
        <w:rPr>
          <w:lang w:val="es-ES"/>
        </w:rPr>
      </w:pPr>
      <w:r>
        <w:rPr>
          <w:lang w:val="es-ES"/>
        </w:rPr>
        <w:t xml:space="preserve">Para la fase inicial de la GBON, la evaluación del cumplimiento en las estaciones se limita a un subconjunto de los criterios presentados en la sección anterior para las estaciones terrestres </w:t>
      </w:r>
      <w:r w:rsidR="00D0046C">
        <w:rPr>
          <w:lang w:val="es-ES"/>
        </w:rPr>
        <w:t>en</w:t>
      </w:r>
      <w:r>
        <w:rPr>
          <w:lang w:val="es-ES"/>
        </w:rPr>
        <w:t xml:space="preserve"> superficie y las estaciones terrestres en altitud.</w:t>
      </w:r>
    </w:p>
    <w:p w14:paraId="7E344E89" w14:textId="78BAA9C6" w:rsidR="003C41B9" w:rsidRPr="002E7790" w:rsidRDefault="003C41B9" w:rsidP="00F81A15">
      <w:pPr>
        <w:spacing w:after="240" w:line="240" w:lineRule="exact"/>
        <w:rPr>
          <w:rFonts w:eastAsia="Verdana"/>
          <w:lang w:val="es-ES"/>
        </w:rPr>
      </w:pPr>
      <w:r>
        <w:rPr>
          <w:lang w:val="es-ES"/>
        </w:rPr>
        <w:t xml:space="preserve">Para evaluar el cumplimiento, las estaciones de la GBON deben aparecer en </w:t>
      </w:r>
      <w:hyperlink r:id="rId28" w:history="1">
        <w:r w:rsidRPr="006D336C">
          <w:rPr>
            <w:rStyle w:val="Hyperlink"/>
            <w:lang w:val="es-ES"/>
          </w:rPr>
          <w:t>OSCAR/Superficie</w:t>
        </w:r>
      </w:hyperlink>
      <w:r>
        <w:rPr>
          <w:lang w:val="es-ES"/>
        </w:rPr>
        <w:t xml:space="preserve"> e incluir la vinculación a la GBON. Si la estación no cumple este requisito, se considerará no conforme.</w:t>
      </w:r>
    </w:p>
    <w:p w14:paraId="37B5D9ED" w14:textId="77777777" w:rsidR="003C41B9" w:rsidRPr="002E7790" w:rsidRDefault="003C41B9" w:rsidP="00F81A15">
      <w:pPr>
        <w:pStyle w:val="Bodytext"/>
        <w:rPr>
          <w:szCs w:val="20"/>
          <w:lang w:val="es-ES"/>
        </w:rPr>
      </w:pPr>
      <w:r>
        <w:rPr>
          <w:lang w:val="es-ES"/>
        </w:rPr>
        <w:t>Por el momento, una estación o plataforma de observación terrestre en superficie se considera conforme con la GBON si se cumplen los tres criterios del cuadro 4.1 (S</w:t>
      </w:r>
      <w:r>
        <w:rPr>
          <w:vertAlign w:val="subscript"/>
          <w:lang w:val="es-ES"/>
        </w:rPr>
        <w:t>SL</w:t>
      </w:r>
      <w:r>
        <w:rPr>
          <w:lang w:val="es-ES"/>
        </w:rPr>
        <w:t xml:space="preserve"> 1 – S</w:t>
      </w:r>
      <w:r>
        <w:rPr>
          <w:vertAlign w:val="subscript"/>
          <w:lang w:val="es-ES"/>
        </w:rPr>
        <w:t>SL</w:t>
      </w:r>
      <w:r>
        <w:rPr>
          <w:lang w:val="es-ES"/>
        </w:rPr>
        <w:t xml:space="preserve"> 3) para, al menos, la medición de la presión atmosférica.</w:t>
      </w:r>
    </w:p>
    <w:p w14:paraId="56763230" w14:textId="77777777" w:rsidR="003C41B9" w:rsidRPr="002E7790" w:rsidRDefault="003C41B9" w:rsidP="00F81A15">
      <w:pPr>
        <w:pStyle w:val="Bodytext"/>
        <w:rPr>
          <w:lang w:val="es-ES"/>
        </w:rPr>
      </w:pPr>
      <w:r>
        <w:rPr>
          <w:lang w:val="es-ES"/>
        </w:rPr>
        <w:t>Por el momento, una estación o plataforma de observación terrestre en altitud se considera conforme con la GBON si se cumplen los cuatro criterios del cuadro 4.2 (S</w:t>
      </w:r>
      <w:r>
        <w:rPr>
          <w:vertAlign w:val="subscript"/>
          <w:lang w:val="es-ES"/>
        </w:rPr>
        <w:t>UA</w:t>
      </w:r>
      <w:r>
        <w:rPr>
          <w:lang w:val="es-ES"/>
        </w:rPr>
        <w:t xml:space="preserve"> 1 – S</w:t>
      </w:r>
      <w:r>
        <w:rPr>
          <w:vertAlign w:val="subscript"/>
          <w:lang w:val="es-ES"/>
        </w:rPr>
        <w:t>UA</w:t>
      </w:r>
      <w:r>
        <w:rPr>
          <w:lang w:val="es-ES"/>
        </w:rPr>
        <w:t xml:space="preserve"> 4) para, al menos, la medición de la temperatura del aire y el viento horizontal.</w:t>
      </w:r>
    </w:p>
    <w:p w14:paraId="0F703428" w14:textId="77777777" w:rsidR="003C41B9" w:rsidRPr="002E7790" w:rsidRDefault="003C41B9" w:rsidP="00F81A15">
      <w:pPr>
        <w:pStyle w:val="Heading3"/>
        <w:spacing w:before="480" w:after="200" w:line="276" w:lineRule="auto"/>
        <w:rPr>
          <w:b w:val="0"/>
          <w:bCs w:val="0"/>
          <w:lang w:val="es-ES"/>
        </w:rPr>
      </w:pPr>
      <w:r>
        <w:rPr>
          <w:lang w:val="es-ES"/>
        </w:rPr>
        <w:t xml:space="preserve">4.3 </w:t>
      </w:r>
      <w:r>
        <w:rPr>
          <w:lang w:val="es-ES"/>
        </w:rPr>
        <w:tab/>
        <w:t>Seguimiento del cumplimiento por parte de los Miembros</w:t>
      </w:r>
    </w:p>
    <w:p w14:paraId="5E8D9867" w14:textId="77777777" w:rsidR="003C41B9" w:rsidRPr="002E7790" w:rsidRDefault="003C41B9" w:rsidP="00F81A15">
      <w:pPr>
        <w:spacing w:after="240" w:line="240" w:lineRule="exact"/>
        <w:rPr>
          <w:lang w:val="es-ES"/>
        </w:rPr>
      </w:pPr>
      <w:r>
        <w:rPr>
          <w:b/>
          <w:bCs/>
          <w:lang w:val="es-ES"/>
        </w:rPr>
        <w:t>4.3.1</w:t>
      </w:r>
      <w:r>
        <w:rPr>
          <w:lang w:val="es-ES"/>
        </w:rPr>
        <w:t xml:space="preserve"> </w:t>
      </w:r>
      <w:r>
        <w:rPr>
          <w:lang w:val="es-ES"/>
        </w:rPr>
        <w:tab/>
      </w:r>
      <w:r>
        <w:rPr>
          <w:b/>
          <w:bCs/>
          <w:lang w:val="es-ES"/>
        </w:rPr>
        <w:t>Criterios de cumplimiento por parte de los Miembros</w:t>
      </w:r>
    </w:p>
    <w:p w14:paraId="791C9842" w14:textId="7DDDA929" w:rsidR="003C41B9" w:rsidRPr="002E7790" w:rsidRDefault="003C41B9" w:rsidP="00F81A15">
      <w:pPr>
        <w:spacing w:after="240" w:line="240" w:lineRule="exact"/>
        <w:rPr>
          <w:lang w:val="es-ES"/>
        </w:rPr>
      </w:pPr>
      <w:r>
        <w:rPr>
          <w:lang w:val="es-ES"/>
        </w:rPr>
        <w:t xml:space="preserve">Los criterios que han de cumplir los Miembros comparan el número de estaciones del Miembro que satisfacen los criterios de cumplimiento de las estaciones descritos en la sección 4.2.1 y el número de estaciones estimado por el análisis global de carencias de la GBON (GGGA). </w:t>
      </w:r>
      <w:r w:rsidR="00A73CBB">
        <w:rPr>
          <w:lang w:val="es-ES"/>
        </w:rPr>
        <w:t>Estos</w:t>
      </w:r>
      <w:r>
        <w:rPr>
          <w:lang w:val="es-ES"/>
        </w:rPr>
        <w:t xml:space="preserve"> criterios son los siguientes:</w:t>
      </w:r>
    </w:p>
    <w:p w14:paraId="590A0AF2" w14:textId="77777777" w:rsidR="003C41B9" w:rsidRPr="002E7790" w:rsidRDefault="003C41B9" w:rsidP="00F81A15">
      <w:pPr>
        <w:pStyle w:val="Bodytext"/>
        <w:rPr>
          <w:b/>
          <w:bCs/>
          <w:szCs w:val="20"/>
          <w:lang w:val="es-ES"/>
        </w:rPr>
      </w:pPr>
      <w:r>
        <w:rPr>
          <w:b/>
          <w:bCs/>
          <w:lang w:val="es-ES"/>
        </w:rPr>
        <w:t>M1: Estaciones terrestres de observación en superficie conformes con la GBON (SLGCS)</w:t>
      </w:r>
    </w:p>
    <w:p w14:paraId="7152C033" w14:textId="08E112B5" w:rsidR="003C41B9" w:rsidRPr="002E7790" w:rsidRDefault="003C41B9" w:rsidP="00F81A15">
      <w:pPr>
        <w:pStyle w:val="Bodytext"/>
        <w:rPr>
          <w:szCs w:val="20"/>
          <w:lang w:val="es-ES"/>
        </w:rPr>
      </w:pPr>
      <w:r>
        <w:rPr>
          <w:lang w:val="es-ES"/>
        </w:rPr>
        <w:t xml:space="preserve">El número de estaciones terrestres de observación en superficie del Miembro que son conformes con la GBON (SLGCS) es mayor o igual al número de estaciones terrestres de observación en superficie de la GBON (SLGS) requerido </w:t>
      </w:r>
      <w:r w:rsidR="00642138">
        <w:rPr>
          <w:lang w:val="es-ES"/>
        </w:rPr>
        <w:t xml:space="preserve">de acuerdo con </w:t>
      </w:r>
      <w:r>
        <w:rPr>
          <w:lang w:val="es-ES"/>
        </w:rPr>
        <w:t>el GGGA:</w:t>
      </w:r>
    </w:p>
    <w:p w14:paraId="0EA46003" w14:textId="32A13279" w:rsidR="003C41B9" w:rsidRPr="002E7790" w:rsidRDefault="006D281F" w:rsidP="004A2C9E">
      <w:pPr>
        <w:pStyle w:val="Bodytext"/>
        <w:rPr>
          <w:szCs w:val="20"/>
          <w:lang w:val="es-ES"/>
        </w:rPr>
      </w:pPr>
      <w:r>
        <w:rPr>
          <w:lang w:val="es-ES"/>
        </w:rPr>
        <w:tab/>
        <w:t xml:space="preserve">N.º de SLGCS ≥ N.º requerido de SLGS </w:t>
      </w:r>
      <w:r w:rsidR="00EB0D01">
        <w:rPr>
          <w:lang w:val="es-ES"/>
        </w:rPr>
        <w:t xml:space="preserve">de acuerdo con el </w:t>
      </w:r>
      <w:r>
        <w:rPr>
          <w:lang w:val="es-ES"/>
        </w:rPr>
        <w:t>GGGA</w:t>
      </w:r>
    </w:p>
    <w:p w14:paraId="530413C1" w14:textId="77777777" w:rsidR="003C41B9" w:rsidRPr="002E7790" w:rsidRDefault="003C41B9" w:rsidP="00F81A15">
      <w:pPr>
        <w:pStyle w:val="Bodytext"/>
        <w:rPr>
          <w:b/>
          <w:bCs/>
          <w:szCs w:val="20"/>
          <w:lang w:val="es-ES"/>
        </w:rPr>
      </w:pPr>
      <w:r>
        <w:rPr>
          <w:b/>
          <w:bCs/>
          <w:lang w:val="es-ES"/>
        </w:rPr>
        <w:t>M2: Estaciones terrestres de observación en altitud conformes con la GBON</w:t>
      </w:r>
    </w:p>
    <w:p w14:paraId="5E76A396" w14:textId="138518DA" w:rsidR="003C41B9" w:rsidRPr="002E7790" w:rsidRDefault="003C41B9" w:rsidP="00F81A15">
      <w:pPr>
        <w:pStyle w:val="Bodytext"/>
        <w:rPr>
          <w:szCs w:val="20"/>
          <w:lang w:val="es-ES"/>
        </w:rPr>
      </w:pPr>
      <w:r>
        <w:rPr>
          <w:lang w:val="es-ES"/>
        </w:rPr>
        <w:t xml:space="preserve">El número de estaciones terrestres de observación en altitud del Miembro que son conformes con la GBON (UALGCS) es mayor o igual al número de estaciones terrestres de observación en altitud de la GBON (UALGS) requerido </w:t>
      </w:r>
      <w:r w:rsidR="00642138">
        <w:rPr>
          <w:lang w:val="es-ES"/>
        </w:rPr>
        <w:t xml:space="preserve">de acuerdo con el </w:t>
      </w:r>
      <w:r>
        <w:rPr>
          <w:lang w:val="es-ES"/>
        </w:rPr>
        <w:t>GGGA:</w:t>
      </w:r>
    </w:p>
    <w:p w14:paraId="086E8E7B" w14:textId="1CE42EE8" w:rsidR="003C41B9" w:rsidRPr="002E7790" w:rsidRDefault="006D281F" w:rsidP="004A2C9E">
      <w:pPr>
        <w:pStyle w:val="Bodytext"/>
        <w:rPr>
          <w:szCs w:val="20"/>
          <w:lang w:val="es-ES"/>
        </w:rPr>
      </w:pPr>
      <w:r>
        <w:rPr>
          <w:lang w:val="es-ES"/>
        </w:rPr>
        <w:tab/>
        <w:t xml:space="preserve">N.º de UALGCS ≥ N.º requerido de UALGS </w:t>
      </w:r>
      <w:r w:rsidR="00EB0D01">
        <w:rPr>
          <w:lang w:val="es-ES"/>
        </w:rPr>
        <w:t xml:space="preserve">de acuerdo con el </w:t>
      </w:r>
      <w:r>
        <w:rPr>
          <w:lang w:val="es-ES"/>
        </w:rPr>
        <w:t>GGGA</w:t>
      </w:r>
    </w:p>
    <w:p w14:paraId="145CC81F" w14:textId="76A2870E" w:rsidR="003C41B9" w:rsidRPr="002E7790" w:rsidRDefault="003C41B9" w:rsidP="00F81A15">
      <w:pPr>
        <w:pStyle w:val="Bodytext"/>
        <w:rPr>
          <w:szCs w:val="20"/>
          <w:lang w:val="es-ES"/>
        </w:rPr>
      </w:pPr>
      <w:r>
        <w:rPr>
          <w:b/>
          <w:bCs/>
          <w:lang w:val="es-ES"/>
        </w:rPr>
        <w:t>4.3.2</w:t>
      </w:r>
      <w:r>
        <w:rPr>
          <w:lang w:val="es-ES"/>
        </w:rPr>
        <w:t xml:space="preserve"> </w:t>
      </w:r>
      <w:r>
        <w:rPr>
          <w:lang w:val="es-ES"/>
        </w:rPr>
        <w:tab/>
      </w:r>
      <w:r>
        <w:rPr>
          <w:b/>
          <w:bCs/>
          <w:lang w:val="es-ES"/>
        </w:rPr>
        <w:t xml:space="preserve">Evaluación del cumplimiento </w:t>
      </w:r>
      <w:r w:rsidR="001D3158">
        <w:rPr>
          <w:b/>
          <w:bCs/>
          <w:lang w:val="es-ES"/>
        </w:rPr>
        <w:t xml:space="preserve">de la GBON </w:t>
      </w:r>
      <w:r w:rsidR="007B5FC8">
        <w:rPr>
          <w:b/>
          <w:bCs/>
          <w:lang w:val="es-ES"/>
        </w:rPr>
        <w:t xml:space="preserve">por parte de los </w:t>
      </w:r>
      <w:r w:rsidR="00CD4927">
        <w:rPr>
          <w:b/>
          <w:bCs/>
          <w:lang w:val="es-ES"/>
        </w:rPr>
        <w:t>M</w:t>
      </w:r>
      <w:r w:rsidR="007B5FC8">
        <w:rPr>
          <w:b/>
          <w:bCs/>
          <w:lang w:val="es-ES"/>
        </w:rPr>
        <w:t>iembros</w:t>
      </w:r>
      <w:r w:rsidR="00D35CB7" w:rsidRPr="00D35CB7">
        <w:rPr>
          <w:b/>
          <w:bCs/>
          <w:lang w:val="es-ES"/>
        </w:rPr>
        <w:t xml:space="preserve"> </w:t>
      </w:r>
    </w:p>
    <w:p w14:paraId="46761305" w14:textId="73D9E130" w:rsidR="003C41B9" w:rsidRPr="002E7790" w:rsidRDefault="003C41B9" w:rsidP="00F81A15">
      <w:pPr>
        <w:spacing w:after="240" w:line="240" w:lineRule="exact"/>
        <w:rPr>
          <w:lang w:val="es-ES"/>
        </w:rPr>
      </w:pPr>
      <w:r>
        <w:rPr>
          <w:lang w:val="es-ES"/>
        </w:rPr>
        <w:t xml:space="preserve">El cumplimiento de los criterios M1 y M2 de la sección 4.3.1 por parte de los </w:t>
      </w:r>
      <w:r w:rsidR="003F7387">
        <w:rPr>
          <w:lang w:val="es-ES"/>
        </w:rPr>
        <w:t>M</w:t>
      </w:r>
      <w:r>
        <w:rPr>
          <w:lang w:val="es-ES"/>
        </w:rPr>
        <w:t>iembros de la GBON se evalúa de forma mensual.</w:t>
      </w:r>
    </w:p>
    <w:p w14:paraId="3AC484C7" w14:textId="06516591" w:rsidR="003C41B9" w:rsidRPr="002E7790" w:rsidRDefault="003C41B9" w:rsidP="00F81A15">
      <w:pPr>
        <w:pStyle w:val="Bodytext"/>
        <w:rPr>
          <w:szCs w:val="20"/>
          <w:lang w:val="es-ES"/>
        </w:rPr>
      </w:pPr>
      <w:r>
        <w:rPr>
          <w:lang w:val="es-ES"/>
        </w:rPr>
        <w:t>Se considera que un Miembro es conforme con la GBON solo si se cumplen ambos criterios.</w:t>
      </w:r>
    </w:p>
    <w:p w14:paraId="20269798" w14:textId="10C96F22" w:rsidR="00560BFE" w:rsidRPr="002E7790" w:rsidRDefault="003C41B9" w:rsidP="00F81A15">
      <w:pPr>
        <w:pStyle w:val="Bodytext"/>
        <w:rPr>
          <w:lang w:val="es-ES"/>
        </w:rPr>
      </w:pPr>
      <w:r>
        <w:rPr>
          <w:lang w:val="es-ES"/>
        </w:rPr>
        <w:t xml:space="preserve">Nota: En determinadas circunstancias, por </w:t>
      </w:r>
      <w:r w:rsidR="00C972FD">
        <w:rPr>
          <w:lang w:val="es-ES"/>
        </w:rPr>
        <w:t>ejemplo,</w:t>
      </w:r>
      <w:r>
        <w:rPr>
          <w:lang w:val="es-ES"/>
        </w:rPr>
        <w:t xml:space="preserve"> cuando el territorio de un Miembro es bastante exiguo o irregular, </w:t>
      </w:r>
      <w:r w:rsidR="003C07D0">
        <w:rPr>
          <w:lang w:val="es-ES"/>
        </w:rPr>
        <w:t xml:space="preserve">se pueden incluir </w:t>
      </w:r>
      <w:r>
        <w:rPr>
          <w:lang w:val="es-ES"/>
        </w:rPr>
        <w:t>algunas estaciones conformes con la GBON de los Miembros limítrofes en la evaluación del cumplimiento del Miembro. En ese caso, el Miembro en cuestión deberá demostrar por escrito que los Miembros limítrofes están de acuerdo en incluir sus estaciones en la evaluación de la GBON de ese Miembro en particular e informar a la Secretaría al respecto, tal y como se describe en la sección 4.5.</w:t>
      </w:r>
    </w:p>
    <w:p w14:paraId="039258C5" w14:textId="77777777" w:rsidR="003C41B9" w:rsidRPr="002E7790" w:rsidRDefault="003C41B9" w:rsidP="00F16E7C">
      <w:pPr>
        <w:pStyle w:val="Bodytext"/>
        <w:keepNext/>
        <w:keepLines/>
        <w:spacing w:before="480" w:after="200" w:line="276" w:lineRule="auto"/>
        <w:outlineLvl w:val="2"/>
        <w:rPr>
          <w:b/>
          <w:bCs/>
          <w:lang w:val="es-ES"/>
        </w:rPr>
      </w:pPr>
      <w:r>
        <w:rPr>
          <w:b/>
          <w:bCs/>
          <w:lang w:val="es-ES"/>
        </w:rPr>
        <w:lastRenderedPageBreak/>
        <w:t>4.4</w:t>
      </w:r>
      <w:r>
        <w:rPr>
          <w:lang w:val="es-ES"/>
        </w:rPr>
        <w:t xml:space="preserve"> </w:t>
      </w:r>
      <w:r>
        <w:rPr>
          <w:lang w:val="es-ES"/>
        </w:rPr>
        <w:tab/>
      </w:r>
      <w:r>
        <w:rPr>
          <w:b/>
          <w:bCs/>
          <w:lang w:val="es-ES"/>
        </w:rPr>
        <w:t>Situación e informes relativos al cumplimiento</w:t>
      </w:r>
    </w:p>
    <w:p w14:paraId="20643A09" w14:textId="1FEB3712" w:rsidR="003C41B9" w:rsidRPr="002E7790" w:rsidRDefault="003C41B9" w:rsidP="00F16E7C">
      <w:pPr>
        <w:keepNext/>
        <w:keepLines/>
        <w:spacing w:after="240" w:line="240" w:lineRule="exact"/>
        <w:rPr>
          <w:lang w:val="es-ES"/>
        </w:rPr>
      </w:pPr>
      <w:r>
        <w:rPr>
          <w:lang w:val="es-ES"/>
        </w:rPr>
        <w:t>El cumplimiento de las obligaciones derivadas de la GBON en las estaciones y por parte de los Miembros se evaluará de forma periódica y se comunicará a través de herramientas como el Sistema de Control de la Calidad de los Datos del WIGOS. Los resultados relativos al cumplimiento en las estaciones, agregados mensualmente, se generarán automáticamente y estarán disponibles en línea en la herramienta web del Sistema de Control de la Calidad de los Datos del WIGOS, mientras que las evaluaciones de los Miembros las realizará y notificará trimestralmente el Comité Permanente de Sistemas de Observación y Redes de Vigilancia de la Tierra (SC-ON) de la INFCOM, con ayuda de la Secretaría, sobre la base de los datos proporcionados por la herramienta web del Sistema de Control de la Calidad de los Datos del WIGOS. Se recomienda que los Miembros examinen estas evaluaciones trimestrales y adopten medidas en caso necesario. Los Centro</w:t>
      </w:r>
      <w:r w:rsidR="00533FC3">
        <w:rPr>
          <w:lang w:val="es-ES"/>
        </w:rPr>
        <w:t>s</w:t>
      </w:r>
      <w:r>
        <w:rPr>
          <w:lang w:val="es-ES"/>
        </w:rPr>
        <w:t xml:space="preserve"> Regional</w:t>
      </w:r>
      <w:r w:rsidR="00533FC3">
        <w:rPr>
          <w:lang w:val="es-ES"/>
        </w:rPr>
        <w:t>es</w:t>
      </w:r>
      <w:r>
        <w:rPr>
          <w:lang w:val="es-ES"/>
        </w:rPr>
        <w:t xml:space="preserve"> del WIGOS también colaborarán a este respecto avisando a los Miembros de los casos de incumplimiento y de los incidentes detectados. El SC-ON elaborará y publicará, con ayuda de la Secretaría, una recopilación anual de los informes nacionales de evaluación de la GBON basada en las evaluaciones trimestrales de los Miembros, teniendo en cuenta la información facilitada por los Miembros si se dispone de ella.</w:t>
      </w:r>
      <w:bookmarkStart w:id="15" w:name="_Hlk123812154"/>
      <w:bookmarkEnd w:id="15"/>
    </w:p>
    <w:p w14:paraId="40133526" w14:textId="77777777" w:rsidR="003C41B9" w:rsidRPr="002E7790" w:rsidRDefault="003C41B9" w:rsidP="00F16E7C">
      <w:pPr>
        <w:pStyle w:val="Bodytext"/>
        <w:rPr>
          <w:lang w:val="es-ES"/>
        </w:rPr>
      </w:pPr>
      <w:r>
        <w:rPr>
          <w:lang w:val="es-ES"/>
        </w:rPr>
        <w:t>Se invita a los Miembros a que examinen su situación de cumplimiento y a que realicen su propio seguimiento con el objetivo de que sus redes de observación alcancen el pleno cumplimiento de la GBON si aún no es el caso.</w:t>
      </w:r>
    </w:p>
    <w:p w14:paraId="3BEAD064" w14:textId="77777777" w:rsidR="002D29DF" w:rsidRPr="002E7790" w:rsidRDefault="004816AD" w:rsidP="00F16E7C">
      <w:pPr>
        <w:pStyle w:val="Heading10"/>
        <w:outlineLvl w:val="2"/>
        <w:rPr>
          <w:rFonts w:eastAsiaTheme="minorEastAsia"/>
          <w:lang w:val="es-ES"/>
        </w:rPr>
      </w:pPr>
      <w:r>
        <w:rPr>
          <w:lang w:val="es-ES"/>
        </w:rPr>
        <w:t xml:space="preserve">4.5 </w:t>
      </w:r>
      <w:r>
        <w:rPr>
          <w:lang w:val="es-ES"/>
        </w:rPr>
        <w:tab/>
        <w:t>Exención en virtud del artículo 9 del Convenio de la OMM</w:t>
      </w:r>
      <w:bookmarkStart w:id="16" w:name="_Hlk123738444"/>
      <w:bookmarkEnd w:id="16"/>
    </w:p>
    <w:p w14:paraId="3A496126" w14:textId="1FA9B23F" w:rsidR="008410C9" w:rsidRPr="002E7790" w:rsidRDefault="002D29DF" w:rsidP="00F16E7C">
      <w:pPr>
        <w:pStyle w:val="Heading20"/>
        <w:tabs>
          <w:tab w:val="clear" w:pos="1120"/>
        </w:tabs>
        <w:spacing w:before="0"/>
        <w:ind w:left="0" w:firstLine="0"/>
        <w:outlineLvl w:val="9"/>
        <w:rPr>
          <w:lang w:val="es-ES"/>
        </w:rPr>
      </w:pPr>
      <w:bookmarkStart w:id="17" w:name="_p_429C3EF06271EC43B7DBAF75E91D16E7"/>
      <w:bookmarkEnd w:id="17"/>
      <w:r>
        <w:rPr>
          <w:lang w:val="es-ES"/>
        </w:rPr>
        <w:t>Situación de cumplimiento de los Miembros que se acogen al artículo 9 del Convenio</w:t>
      </w:r>
      <w:r w:rsidR="00BA74C4">
        <w:rPr>
          <w:lang w:val="es-ES"/>
        </w:rPr>
        <w:t xml:space="preserve"> </w:t>
      </w:r>
      <w:r>
        <w:rPr>
          <w:lang w:val="es-ES"/>
        </w:rPr>
        <w:t>de la OMM</w:t>
      </w:r>
      <w:bookmarkStart w:id="18" w:name="_p_11B45E9690635046A57114F497203BAE"/>
      <w:bookmarkEnd w:id="18"/>
    </w:p>
    <w:p w14:paraId="2C20B9F6" w14:textId="16644A93" w:rsidR="00636839" w:rsidRPr="002E7790" w:rsidRDefault="007A7C42" w:rsidP="00F16E7C">
      <w:pPr>
        <w:tabs>
          <w:tab w:val="left" w:pos="1134"/>
        </w:tabs>
        <w:spacing w:after="240" w:line="240" w:lineRule="exact"/>
        <w:rPr>
          <w:rFonts w:eastAsia="Verdana" w:cs="Verdana"/>
          <w:color w:val="auto"/>
          <w:lang w:val="es-ES"/>
        </w:rPr>
      </w:pPr>
      <w:r>
        <w:rPr>
          <w:lang w:val="es-ES"/>
        </w:rPr>
        <w:t xml:space="preserve">El artículo 9 b) del Convenio de la OMM b) publicado en los </w:t>
      </w:r>
      <w:hyperlink r:id="rId29" w:anchor=".Y0gbdXZBw2w" w:history="1">
        <w:r w:rsidRPr="006D336C">
          <w:rPr>
            <w:rStyle w:val="Hyperlink"/>
            <w:i/>
            <w:iCs/>
            <w:lang w:val="es-ES"/>
          </w:rPr>
          <w:t>Documentos Fundamentales Nº 1</w:t>
        </w:r>
      </w:hyperlink>
      <w:r>
        <w:rPr>
          <w:lang w:val="es-ES"/>
        </w:rPr>
        <w:t xml:space="preserve"> (OMM-Nº</w:t>
      </w:r>
      <w:r w:rsidR="00CE0C47">
        <w:rPr>
          <w:lang w:val="es-ES"/>
        </w:rPr>
        <w:t> </w:t>
      </w:r>
      <w:r>
        <w:rPr>
          <w:lang w:val="es-ES"/>
        </w:rPr>
        <w:t>15) establece que "cuando un Miembro no pueda dar cumplimiento a alguna disposición de una resolución técnica adoptada por el Congreso, deberá informar al Secretario General de la Organización si la imposibilidad es temporal o definitiva, e indicar las razones que la motivan".</w:t>
      </w:r>
    </w:p>
    <w:p w14:paraId="7E8ACCF5" w14:textId="6357BBA5" w:rsidR="007A7C42" w:rsidRPr="002E7790" w:rsidRDefault="00AE5387" w:rsidP="00F16E7C">
      <w:pPr>
        <w:tabs>
          <w:tab w:val="left" w:pos="1134"/>
        </w:tabs>
        <w:spacing w:after="240" w:line="240" w:lineRule="exact"/>
        <w:rPr>
          <w:rFonts w:eastAsia="Arial" w:cs="Arial"/>
          <w:color w:val="auto"/>
          <w:lang w:val="es-ES"/>
        </w:rPr>
      </w:pPr>
      <w:r>
        <w:rPr>
          <w:lang w:val="es-ES"/>
        </w:rPr>
        <w:t xml:space="preserve">El </w:t>
      </w:r>
      <w:hyperlink r:id="rId30" w:history="1">
        <w:r w:rsidRPr="006D336C">
          <w:rPr>
            <w:rStyle w:val="Hyperlink"/>
            <w:i/>
            <w:iCs/>
            <w:lang w:val="es-ES"/>
          </w:rPr>
          <w:t>Reglamento Técnico</w:t>
        </w:r>
      </w:hyperlink>
      <w:r>
        <w:rPr>
          <w:lang w:val="es-ES"/>
        </w:rPr>
        <w:t xml:space="preserve"> (OMM-Nº</w:t>
      </w:r>
      <w:r w:rsidR="00793066">
        <w:rPr>
          <w:lang w:val="es-ES"/>
        </w:rPr>
        <w:t> </w:t>
      </w:r>
      <w:r>
        <w:rPr>
          <w:lang w:val="es-ES"/>
        </w:rPr>
        <w:t>49), Volumen I, Disposiciones Generales, párrafo 6, establece que, "de acuerdo con las definiciones anteriores, los Miembros harán todo lo posible para aplicar las prácticas y procedimientos normalizados. De conformidad con lo dispuesto en el artículo 9 b) del Convenio y en la regla 101 del Reglamento General, los Miembros notificarán formalmente por escrito al Secretario General su intención de aplicar las prácticas y procedimientos normalizados del Reglamento Técnico, con excepción de aquellos respecto a los cuales hayan indicado desviaciones específicas. Los Miembros informarán asimismo al Secretario General, al menos con tres meses de antelación, de todo cambio en el grado de aplicación de una práctica o procedimiento normalizado con respecto a lo notificado anteriormente y la fecha efectiva del cambio".</w:t>
      </w:r>
    </w:p>
    <w:p w14:paraId="2DE5D4DB" w14:textId="51F8BBB2" w:rsidR="007A7C42" w:rsidRPr="002E7790" w:rsidRDefault="007A7C42" w:rsidP="00F16E7C">
      <w:pPr>
        <w:tabs>
          <w:tab w:val="left" w:pos="1134"/>
        </w:tabs>
        <w:spacing w:after="240" w:line="240" w:lineRule="exact"/>
        <w:rPr>
          <w:rFonts w:eastAsia="Arial" w:cs="Arial"/>
          <w:color w:val="auto"/>
          <w:lang w:val="es-ES"/>
        </w:rPr>
      </w:pPr>
      <w:r>
        <w:rPr>
          <w:lang w:val="es-ES"/>
        </w:rPr>
        <w:t>Por consiguiente, las condiciones, criterios y repercusiones sobre la situación de cumplimiento de un Miembro que se acoja al artículo 9 b)</w:t>
      </w:r>
      <w:r w:rsidR="001929D4" w:rsidRPr="003530E7">
        <w:rPr>
          <w:rStyle w:val="FootnoteReference"/>
          <w:rFonts w:eastAsia="Verdana" w:cs="Verdana"/>
          <w:color w:val="auto"/>
          <w:lang w:val="es-ES" w:eastAsia="en-US"/>
        </w:rPr>
        <w:footnoteReference w:id="12"/>
      </w:r>
      <w:r>
        <w:rPr>
          <w:lang w:val="es-ES"/>
        </w:rPr>
        <w:t xml:space="preserve"> en relación con su</w:t>
      </w:r>
      <w:r w:rsidR="003E2A7E">
        <w:rPr>
          <w:lang w:val="es-ES"/>
        </w:rPr>
        <w:t>s</w:t>
      </w:r>
      <w:r>
        <w:rPr>
          <w:lang w:val="es-ES"/>
        </w:rPr>
        <w:t xml:space="preserve"> contribuci</w:t>
      </w:r>
      <w:r w:rsidR="003E2A7E">
        <w:rPr>
          <w:lang w:val="es-ES"/>
        </w:rPr>
        <w:t>o</w:t>
      </w:r>
      <w:r>
        <w:rPr>
          <w:lang w:val="es-ES"/>
        </w:rPr>
        <w:t>n</w:t>
      </w:r>
      <w:r w:rsidR="003E2A7E">
        <w:rPr>
          <w:lang w:val="es-ES"/>
        </w:rPr>
        <w:t>es</w:t>
      </w:r>
      <w:r>
        <w:rPr>
          <w:lang w:val="es-ES"/>
        </w:rPr>
        <w:t xml:space="preserve"> a la GBON son los siguientes:</w:t>
      </w:r>
    </w:p>
    <w:p w14:paraId="6523A727" w14:textId="49821CCC" w:rsidR="001929D4" w:rsidRPr="005C2737" w:rsidRDefault="007A7C42" w:rsidP="00F16E7C">
      <w:pPr>
        <w:pStyle w:val="ListParagraph"/>
        <w:numPr>
          <w:ilvl w:val="0"/>
          <w:numId w:val="46"/>
        </w:numPr>
        <w:tabs>
          <w:tab w:val="left" w:pos="1134"/>
        </w:tabs>
        <w:spacing w:after="240" w:line="240" w:lineRule="exact"/>
        <w:ind w:left="567" w:hanging="567"/>
        <w:rPr>
          <w:rFonts w:ascii="Verdana" w:eastAsia="Verdana" w:hAnsi="Verdana" w:cs="Verdana"/>
          <w:color w:val="auto"/>
          <w:sz w:val="20"/>
          <w:szCs w:val="20"/>
          <w:lang w:val="es-ES"/>
        </w:rPr>
      </w:pPr>
      <w:r w:rsidRPr="005C2737">
        <w:rPr>
          <w:rFonts w:ascii="Verdana" w:hAnsi="Verdana"/>
          <w:sz w:val="20"/>
          <w:szCs w:val="20"/>
          <w:lang w:val="es-ES"/>
        </w:rPr>
        <w:t xml:space="preserve">Por lo que respecta al requisito de resolución horizontal, el Miembro que se acoja al artículo 9 b) en lo relativo a su compromiso con la GBON deberá indicar claramente las razones, la parte de su territorio para la que solicita la exención del cumplimiento de los requisitos de la GBON, su nivel de compromiso con el cumplimiento del requisito de resolución horizontal de la GBON para el resto de su territorio, el período en el que </w:t>
      </w:r>
      <w:r w:rsidRPr="005C2737">
        <w:rPr>
          <w:rFonts w:ascii="Verdana" w:hAnsi="Verdana"/>
          <w:sz w:val="20"/>
          <w:szCs w:val="20"/>
          <w:lang w:val="es-ES"/>
        </w:rPr>
        <w:lastRenderedPageBreak/>
        <w:t xml:space="preserve">considera que dicha parte de su territorio quedaría exenta, y si </w:t>
      </w:r>
      <w:r w:rsidR="007A0FC6">
        <w:rPr>
          <w:rFonts w:ascii="Verdana" w:hAnsi="Verdana"/>
          <w:sz w:val="20"/>
          <w:szCs w:val="20"/>
          <w:lang w:val="es-ES"/>
        </w:rPr>
        <w:t>cuenta con</w:t>
      </w:r>
      <w:r w:rsidRPr="005C2737">
        <w:rPr>
          <w:rFonts w:ascii="Verdana" w:hAnsi="Verdana"/>
          <w:sz w:val="20"/>
          <w:szCs w:val="20"/>
          <w:lang w:val="es-ES"/>
        </w:rPr>
        <w:t xml:space="preserve"> algún plan para mejorar la situación.</w:t>
      </w:r>
    </w:p>
    <w:p w14:paraId="23D07BF4" w14:textId="45FE579A" w:rsidR="007A7C42" w:rsidRPr="005C2737" w:rsidRDefault="007A7C42" w:rsidP="00140521">
      <w:pPr>
        <w:pStyle w:val="ListParagraph"/>
        <w:numPr>
          <w:ilvl w:val="0"/>
          <w:numId w:val="46"/>
        </w:numPr>
        <w:tabs>
          <w:tab w:val="left" w:pos="1134"/>
        </w:tabs>
        <w:spacing w:after="240" w:line="240" w:lineRule="exact"/>
        <w:ind w:left="567" w:hanging="567"/>
        <w:rPr>
          <w:rFonts w:ascii="Verdana" w:eastAsia="Verdana" w:hAnsi="Verdana" w:cs="Verdana"/>
          <w:color w:val="auto"/>
          <w:sz w:val="20"/>
          <w:szCs w:val="20"/>
          <w:lang w:val="es-ES"/>
        </w:rPr>
      </w:pPr>
      <w:r w:rsidRPr="005C2737">
        <w:rPr>
          <w:rFonts w:ascii="Verdana" w:hAnsi="Verdana"/>
          <w:sz w:val="20"/>
          <w:szCs w:val="20"/>
          <w:lang w:val="es-ES"/>
        </w:rPr>
        <w:t xml:space="preserve">En cuanto al requisito de resolución temporal, el Miembro que se acoja al artículo 9 b) en lo relativo a su compromiso con la GBON deberá indicar claramente el subconjunto de estaciones de observación de la GBON que no podrá cumplir los requisitos relativos a la resolución temporal, las razones por las que no podrá hacerlo, el período durante el cual considera que dicho subconjunto de estaciones quedaría exento, y si </w:t>
      </w:r>
      <w:r w:rsidR="007A0FC6">
        <w:rPr>
          <w:rFonts w:ascii="Verdana" w:hAnsi="Verdana"/>
          <w:sz w:val="20"/>
          <w:szCs w:val="20"/>
          <w:lang w:val="es-ES"/>
        </w:rPr>
        <w:t>cuenta con</w:t>
      </w:r>
      <w:r w:rsidRPr="005C2737">
        <w:rPr>
          <w:rFonts w:ascii="Verdana" w:hAnsi="Verdana"/>
          <w:sz w:val="20"/>
          <w:szCs w:val="20"/>
          <w:lang w:val="es-ES"/>
        </w:rPr>
        <w:t xml:space="preserve"> algún plan para mejorar la situación.</w:t>
      </w:r>
    </w:p>
    <w:p w14:paraId="103011FD" w14:textId="42631630" w:rsidR="007A7C42" w:rsidRPr="005C2737" w:rsidRDefault="007A7C42" w:rsidP="00140521">
      <w:pPr>
        <w:tabs>
          <w:tab w:val="left" w:pos="1134"/>
        </w:tabs>
        <w:spacing w:after="240" w:line="240" w:lineRule="exact"/>
        <w:rPr>
          <w:rFonts w:eastAsia="Arial" w:cs="Arial"/>
          <w:color w:val="auto"/>
          <w:lang w:val="es-ES"/>
        </w:rPr>
      </w:pPr>
      <w:r w:rsidRPr="005C2737">
        <w:rPr>
          <w:lang w:val="es-ES"/>
        </w:rPr>
        <w:t>Un comité de expertos independiente designado por el presidente de la INFCOM en consulta con el Grupo de gestión de la INFCOM evaluará si un Miembro que solicite acogerse a artículo</w:t>
      </w:r>
      <w:r w:rsidR="00140521">
        <w:rPr>
          <w:lang w:val="es-ES"/>
        </w:rPr>
        <w:t> </w:t>
      </w:r>
      <w:r w:rsidRPr="005C2737">
        <w:rPr>
          <w:lang w:val="es-ES"/>
        </w:rPr>
        <w:t>9 b) debe considerarse conforme a la GBON sobre la base de los siguientes criterios:</w:t>
      </w:r>
    </w:p>
    <w:p w14:paraId="1F2EE24A" w14:textId="1C6EDA50" w:rsidR="007A7C42" w:rsidRPr="005C2737" w:rsidRDefault="00066EC7" w:rsidP="00140521">
      <w:pPr>
        <w:numPr>
          <w:ilvl w:val="0"/>
          <w:numId w:val="47"/>
        </w:numPr>
        <w:tabs>
          <w:tab w:val="left" w:pos="1134"/>
        </w:tabs>
        <w:spacing w:after="240" w:line="240" w:lineRule="exact"/>
        <w:ind w:left="567" w:hanging="567"/>
        <w:rPr>
          <w:rFonts w:eastAsia="Times New Roman" w:cs="Times New Roman"/>
          <w:color w:val="auto"/>
          <w:lang w:val="es-ES"/>
        </w:rPr>
      </w:pPr>
      <w:r w:rsidRPr="005C2737">
        <w:rPr>
          <w:lang w:val="es-ES"/>
        </w:rPr>
        <w:t>Las razones expuestas por el Miembro se consideran legítimas;</w:t>
      </w:r>
    </w:p>
    <w:p w14:paraId="64AC0061" w14:textId="5B3E9AC3" w:rsidR="007A7C42" w:rsidRPr="005C2737" w:rsidRDefault="00066EC7" w:rsidP="00140521">
      <w:pPr>
        <w:numPr>
          <w:ilvl w:val="0"/>
          <w:numId w:val="47"/>
        </w:numPr>
        <w:tabs>
          <w:tab w:val="left" w:pos="1134"/>
        </w:tabs>
        <w:spacing w:after="240" w:line="240" w:lineRule="exact"/>
        <w:ind w:left="567" w:hanging="567"/>
        <w:rPr>
          <w:rFonts w:eastAsia="Times New Roman" w:cs="Times New Roman"/>
          <w:color w:val="auto"/>
          <w:lang w:val="es-ES"/>
        </w:rPr>
      </w:pPr>
      <w:r w:rsidRPr="005C2737">
        <w:rPr>
          <w:lang w:val="es-ES"/>
        </w:rPr>
        <w:t xml:space="preserve">Una parte </w:t>
      </w:r>
      <w:r w:rsidR="00326C5A">
        <w:rPr>
          <w:lang w:val="es-ES"/>
        </w:rPr>
        <w:t>considerable</w:t>
      </w:r>
      <w:r w:rsidRPr="005C2737">
        <w:rPr>
          <w:lang w:val="es-ES"/>
        </w:rPr>
        <w:t xml:space="preserve"> del territorio del Miembro cumple los requisitos horizontales de la GBON (para países pequeños, si el requisito horizontal de la GBON se cumple debido al compromiso de los países limítrofes con la GBON, el país puede seguir considerándose conforme con la GBON si destina al menos una estación de observación a la Red);</w:t>
      </w:r>
    </w:p>
    <w:p w14:paraId="35977EBA" w14:textId="781CA637" w:rsidR="007A7C42" w:rsidRPr="005C2737" w:rsidRDefault="00066EC7" w:rsidP="00140521">
      <w:pPr>
        <w:numPr>
          <w:ilvl w:val="0"/>
          <w:numId w:val="47"/>
        </w:numPr>
        <w:tabs>
          <w:tab w:val="left" w:pos="1134"/>
        </w:tabs>
        <w:spacing w:after="240" w:line="240" w:lineRule="exact"/>
        <w:ind w:left="567" w:hanging="567"/>
        <w:rPr>
          <w:rFonts w:eastAsia="Times New Roman" w:cs="Times New Roman"/>
          <w:color w:val="auto"/>
          <w:lang w:val="es-ES"/>
        </w:rPr>
      </w:pPr>
      <w:r w:rsidRPr="005C2737">
        <w:rPr>
          <w:lang w:val="es-ES"/>
        </w:rPr>
        <w:t xml:space="preserve">El Miembro dispone de un número </w:t>
      </w:r>
      <w:r w:rsidR="00326C5A">
        <w:rPr>
          <w:lang w:val="es-ES"/>
        </w:rPr>
        <w:t>significativo</w:t>
      </w:r>
      <w:r w:rsidRPr="005C2737">
        <w:rPr>
          <w:lang w:val="es-ES"/>
        </w:rPr>
        <w:t xml:space="preserve"> de estaciones de la GBON que cumplen los requisitos de resolución temporal de la Red.</w:t>
      </w:r>
    </w:p>
    <w:p w14:paraId="0FE57838" w14:textId="77777777" w:rsidR="00270C4B" w:rsidRPr="005C2737" w:rsidRDefault="007A7C42" w:rsidP="002D6853">
      <w:pPr>
        <w:pStyle w:val="Bodytext"/>
        <w:jc w:val="both"/>
        <w:rPr>
          <w:rFonts w:eastAsia="Verdana" w:cs="Verdana"/>
          <w:color w:val="auto"/>
          <w:szCs w:val="20"/>
          <w:lang w:val="es-ES"/>
        </w:rPr>
      </w:pPr>
      <w:r w:rsidRPr="005C2737">
        <w:rPr>
          <w:szCs w:val="20"/>
          <w:lang w:val="es-ES"/>
        </w:rPr>
        <w:t>Si el comité de expertos independiente considera que el Miembro cumple con los requisitos de la GBON, ello se reflejará en la situación general de cumplimiento de todos los Miembros. En caso contrario, el Secretario General informará al Miembro de su situación de incumplimiento y le instará a tomar medidas para cumplir los requisitos. El presidente de la INFCOM informará al Consejo Ejecutivo de la decisión del comité independiente.</w:t>
      </w:r>
    </w:p>
    <w:p w14:paraId="7141BD3B" w14:textId="6E571437" w:rsidR="008410C9" w:rsidRPr="002E7790" w:rsidRDefault="00C97B4E" w:rsidP="002D6853">
      <w:pPr>
        <w:pStyle w:val="Chapterhead"/>
        <w:spacing w:before="360" w:after="240" w:line="240" w:lineRule="auto"/>
        <w:jc w:val="both"/>
        <w:outlineLvl w:val="1"/>
        <w:rPr>
          <w:lang w:val="es-ES"/>
        </w:rPr>
      </w:pPr>
      <w:bookmarkStart w:id="19" w:name="_p_63CB55FA0D0DCD46A9FCB287D244ACB9"/>
      <w:bookmarkEnd w:id="19"/>
      <w:r>
        <w:rPr>
          <w:bCs/>
          <w:lang w:val="es-ES"/>
        </w:rPr>
        <w:t>5.</w:t>
      </w:r>
      <w:r>
        <w:rPr>
          <w:lang w:val="es-ES"/>
        </w:rPr>
        <w:tab/>
      </w:r>
      <w:r>
        <w:rPr>
          <w:bCs/>
          <w:lang w:val="es-ES"/>
        </w:rPr>
        <w:t>GESTIÓN DE LA GBON</w:t>
      </w:r>
      <w:bookmarkStart w:id="20" w:name="_p_3E0C77404B76C34D8D4CF27F7F0FD367"/>
      <w:bookmarkEnd w:id="20"/>
    </w:p>
    <w:p w14:paraId="020565D1" w14:textId="77777777" w:rsidR="004938C0" w:rsidRPr="001167B8" w:rsidRDefault="00C97B4E" w:rsidP="002D6853">
      <w:pPr>
        <w:pStyle w:val="ListParagraph"/>
        <w:spacing w:before="240" w:after="240" w:line="240" w:lineRule="auto"/>
        <w:ind w:left="357" w:hanging="357"/>
        <w:jc w:val="both"/>
        <w:outlineLvl w:val="2"/>
        <w:rPr>
          <w:rFonts w:ascii="Verdana" w:hAnsi="Verdana"/>
          <w:b/>
          <w:bCs/>
          <w:sz w:val="20"/>
          <w:szCs w:val="20"/>
          <w:lang w:val="es-ES"/>
        </w:rPr>
      </w:pPr>
      <w:bookmarkStart w:id="21" w:name="_p_D20CACA7A6A49545B0B9B144A05D3AC4"/>
      <w:bookmarkStart w:id="22" w:name="_Hlk115787377"/>
      <w:bookmarkEnd w:id="21"/>
      <w:r w:rsidRPr="001167B8">
        <w:rPr>
          <w:rFonts w:ascii="Verdana" w:hAnsi="Verdana"/>
          <w:b/>
          <w:bCs/>
          <w:sz w:val="20"/>
          <w:szCs w:val="20"/>
          <w:lang w:val="es-ES"/>
        </w:rPr>
        <w:t>5.1</w:t>
      </w:r>
      <w:r w:rsidRPr="001167B8">
        <w:rPr>
          <w:rFonts w:ascii="Verdana" w:hAnsi="Verdana"/>
          <w:sz w:val="20"/>
          <w:szCs w:val="20"/>
          <w:lang w:val="es-ES"/>
        </w:rPr>
        <w:tab/>
      </w:r>
      <w:r w:rsidRPr="001167B8">
        <w:rPr>
          <w:rFonts w:ascii="Verdana" w:hAnsi="Verdana"/>
          <w:sz w:val="20"/>
          <w:szCs w:val="20"/>
          <w:lang w:val="es-ES"/>
        </w:rPr>
        <w:tab/>
      </w:r>
      <w:r w:rsidRPr="001167B8">
        <w:rPr>
          <w:rFonts w:ascii="Verdana" w:hAnsi="Verdana"/>
          <w:b/>
          <w:bCs/>
          <w:sz w:val="20"/>
          <w:szCs w:val="20"/>
          <w:lang w:val="es-ES"/>
        </w:rPr>
        <w:t>Funciones y responsabilidades</w:t>
      </w:r>
    </w:p>
    <w:bookmarkEnd w:id="22"/>
    <w:p w14:paraId="241FAD43" w14:textId="71A73C88" w:rsidR="00B83708" w:rsidRPr="002E7790" w:rsidRDefault="00AD0D19" w:rsidP="00140521">
      <w:pPr>
        <w:spacing w:after="240" w:line="240" w:lineRule="exact"/>
        <w:rPr>
          <w:lang w:val="es-ES"/>
        </w:rPr>
      </w:pPr>
      <w:r>
        <w:rPr>
          <w:lang w:val="es-ES"/>
        </w:rPr>
        <w:t xml:space="preserve">En el cuadro 5.1 se especifican las funciones y responsabilidades de las principales partes interesadas en el proceso de determinar la composición inicial de la GBON. Las responsabilidades de los coordinadores nacionales se describen en la </w:t>
      </w:r>
      <w:hyperlink r:id="rId31" w:history="1">
        <w:r w:rsidRPr="002759C9">
          <w:rPr>
            <w:rStyle w:val="Hyperlink"/>
            <w:i/>
            <w:iCs/>
            <w:lang w:val="es-ES"/>
          </w:rPr>
          <w:t>Guía del Sistema Mundial Integrado de Sistemas de Observación de la OMM</w:t>
        </w:r>
      </w:hyperlink>
      <w:r>
        <w:rPr>
          <w:lang w:val="es-ES"/>
        </w:rPr>
        <w:t xml:space="preserve"> (OMM-Nº 1165), capítulo </w:t>
      </w:r>
      <w:r w:rsidR="002759C9">
        <w:rPr>
          <w:lang w:val="es-ES"/>
        </w:rPr>
        <w:t>6</w:t>
      </w:r>
      <w:r>
        <w:rPr>
          <w:lang w:val="es-ES"/>
        </w:rPr>
        <w:t>, anexo 1.</w:t>
      </w:r>
    </w:p>
    <w:p w14:paraId="6E46AEDE" w14:textId="1DAF6796" w:rsidR="00967759" w:rsidRPr="002E7790" w:rsidRDefault="00967759" w:rsidP="004A2C9E">
      <w:pPr>
        <w:spacing w:after="240" w:line="240" w:lineRule="exact"/>
        <w:jc w:val="center"/>
        <w:rPr>
          <w:b/>
          <w:bCs/>
          <w:lang w:val="es-ES"/>
        </w:rPr>
      </w:pPr>
      <w:r>
        <w:rPr>
          <w:b/>
          <w:bCs/>
          <w:lang w:val="es-ES"/>
        </w:rPr>
        <w:t xml:space="preserve">Cuadro 5.1: Funciones y responsabilidades de las principales partes interesadas </w:t>
      </w:r>
      <w:r w:rsidR="00140521">
        <w:rPr>
          <w:b/>
          <w:bCs/>
          <w:lang w:val="es-ES"/>
        </w:rPr>
        <w:br/>
      </w:r>
      <w:r>
        <w:rPr>
          <w:b/>
          <w:bCs/>
          <w:lang w:val="es-ES"/>
        </w:rPr>
        <w:t>a la hora de determinar la composición inicial de la GBON (enero de 2023)</w:t>
      </w:r>
    </w:p>
    <w:tbl>
      <w:tblPr>
        <w:tblStyle w:val="TableGrid"/>
        <w:tblW w:w="5000" w:type="pct"/>
        <w:shd w:val="clear" w:color="auto" w:fill="FFFFFF" w:themeFill="background1"/>
        <w:tblLayout w:type="fixed"/>
        <w:tblLook w:val="04A0" w:firstRow="1" w:lastRow="0" w:firstColumn="1" w:lastColumn="0" w:noHBand="0" w:noVBand="1"/>
      </w:tblPr>
      <w:tblGrid>
        <w:gridCol w:w="2293"/>
        <w:gridCol w:w="7326"/>
      </w:tblGrid>
      <w:tr w:rsidR="00602332" w:rsidRPr="003530E7" w14:paraId="1ECBC2F3" w14:textId="77777777" w:rsidTr="002D6853">
        <w:trPr>
          <w:tblHeader/>
        </w:trPr>
        <w:tc>
          <w:tcPr>
            <w:tcW w:w="1192"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8AF6F17" w14:textId="582A9F97" w:rsidR="00602332" w:rsidRPr="001167B8" w:rsidRDefault="00602332" w:rsidP="0033072D">
            <w:pPr>
              <w:spacing w:before="120" w:after="120"/>
              <w:jc w:val="center"/>
              <w:rPr>
                <w:rFonts w:eastAsia="Calibri" w:cs="Calibri"/>
                <w:b/>
                <w:bCs/>
                <w:sz w:val="20"/>
                <w:szCs w:val="20"/>
              </w:rPr>
            </w:pPr>
            <w:r w:rsidRPr="001167B8">
              <w:rPr>
                <w:b/>
                <w:bCs/>
                <w:sz w:val="20"/>
                <w:szCs w:val="20"/>
                <w:lang w:val="es-ES"/>
              </w:rPr>
              <w:t>Parte interesada o</w:t>
            </w:r>
            <w:r w:rsidR="00140521">
              <w:rPr>
                <w:b/>
                <w:bCs/>
                <w:sz w:val="20"/>
                <w:szCs w:val="20"/>
                <w:lang w:val="es-ES"/>
              </w:rPr>
              <w:t> </w:t>
            </w:r>
            <w:r w:rsidRPr="001167B8">
              <w:rPr>
                <w:b/>
                <w:bCs/>
                <w:sz w:val="20"/>
                <w:szCs w:val="20"/>
                <w:lang w:val="es-ES"/>
              </w:rPr>
              <w:t>grupo</w:t>
            </w:r>
          </w:p>
        </w:tc>
        <w:tc>
          <w:tcPr>
            <w:tcW w:w="380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D458352" w14:textId="77777777" w:rsidR="00602332" w:rsidRPr="001167B8" w:rsidRDefault="00602332" w:rsidP="0033072D">
            <w:pPr>
              <w:spacing w:before="120" w:after="120"/>
              <w:jc w:val="center"/>
              <w:rPr>
                <w:rFonts w:eastAsia="Calibri" w:cs="Calibri"/>
                <w:b/>
                <w:bCs/>
                <w:sz w:val="20"/>
                <w:szCs w:val="20"/>
              </w:rPr>
            </w:pPr>
            <w:r w:rsidRPr="001167B8">
              <w:rPr>
                <w:b/>
                <w:bCs/>
                <w:sz w:val="20"/>
                <w:szCs w:val="20"/>
                <w:lang w:val="es-ES"/>
              </w:rPr>
              <w:t>Función</w:t>
            </w:r>
          </w:p>
        </w:tc>
      </w:tr>
      <w:tr w:rsidR="00602332" w:rsidRPr="00AE4BEE" w14:paraId="3902F916" w14:textId="77777777" w:rsidTr="002D6853">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0A0295F5" w14:textId="77777777" w:rsidR="00602332" w:rsidRPr="001167B8" w:rsidRDefault="00602332" w:rsidP="0033072D">
            <w:pPr>
              <w:spacing w:before="120" w:after="120"/>
              <w:rPr>
                <w:rFonts w:eastAsia="Calibri" w:cs="Calibri"/>
                <w:sz w:val="20"/>
                <w:szCs w:val="20"/>
              </w:rPr>
            </w:pPr>
            <w:r w:rsidRPr="001167B8">
              <w:rPr>
                <w:sz w:val="20"/>
                <w:szCs w:val="20"/>
                <w:lang w:val="es-ES"/>
              </w:rPr>
              <w:t>Miembros</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3F9BE4" w14:textId="19B2C9BA" w:rsidR="00602332" w:rsidRPr="001167B8" w:rsidRDefault="00602332" w:rsidP="0033072D">
            <w:pPr>
              <w:pStyle w:val="ListParagraph"/>
              <w:numPr>
                <w:ilvl w:val="0"/>
                <w:numId w:val="35"/>
              </w:numPr>
              <w:spacing w:before="120" w:after="120" w:line="240" w:lineRule="auto"/>
              <w:ind w:left="426" w:hanging="283"/>
              <w:rPr>
                <w:rFonts w:ascii="Verdana" w:hAnsi="Verdana"/>
                <w:sz w:val="20"/>
                <w:szCs w:val="20"/>
                <w:lang w:val="es-ES"/>
              </w:rPr>
            </w:pPr>
            <w:r w:rsidRPr="001167B8">
              <w:rPr>
                <w:rFonts w:ascii="Verdana" w:hAnsi="Verdana"/>
                <w:sz w:val="20"/>
                <w:szCs w:val="20"/>
                <w:lang w:val="es-ES"/>
              </w:rPr>
              <w:t xml:space="preserve">Nombrar a los coordinadores nacionales del WIGOS, OSCAR/Superficie y </w:t>
            </w:r>
            <w:r w:rsidR="001D6FE3">
              <w:rPr>
                <w:rFonts w:ascii="Verdana" w:hAnsi="Verdana"/>
                <w:sz w:val="20"/>
                <w:szCs w:val="20"/>
                <w:lang w:val="es-ES"/>
              </w:rPr>
              <w:t>d</w:t>
            </w:r>
            <w:r w:rsidRPr="001167B8">
              <w:rPr>
                <w:rFonts w:ascii="Verdana" w:hAnsi="Verdana"/>
                <w:sz w:val="20"/>
                <w:szCs w:val="20"/>
                <w:lang w:val="es-ES"/>
              </w:rPr>
              <w:t>el WDQMS e informarles de su función de apoyo a la implementación de la GBON; velar por que reciban el apoyo adecuado de los equipos de gestión para el desempeño de sus funciones.</w:t>
            </w:r>
          </w:p>
          <w:p w14:paraId="434C4308" w14:textId="41F14882" w:rsidR="00602332" w:rsidRPr="001167B8" w:rsidRDefault="00602332" w:rsidP="0033072D">
            <w:pPr>
              <w:pStyle w:val="ListParagraph"/>
              <w:numPr>
                <w:ilvl w:val="0"/>
                <w:numId w:val="35"/>
              </w:numPr>
              <w:spacing w:before="120" w:after="120" w:line="240" w:lineRule="auto"/>
              <w:ind w:left="426" w:hanging="283"/>
              <w:rPr>
                <w:rFonts w:ascii="Verdana" w:hAnsi="Verdana"/>
                <w:sz w:val="20"/>
                <w:szCs w:val="20"/>
                <w:lang w:val="es-ES"/>
              </w:rPr>
            </w:pPr>
            <w:r w:rsidRPr="001167B8">
              <w:rPr>
                <w:rFonts w:ascii="Verdana" w:hAnsi="Verdana"/>
                <w:sz w:val="20"/>
                <w:szCs w:val="20"/>
                <w:lang w:val="es-ES"/>
              </w:rPr>
              <w:t xml:space="preserve">Examinar los requisitos de la GBON, identificar oportunidades para establecer estaciones de la GBON y </w:t>
            </w:r>
            <w:r w:rsidR="00622FE9">
              <w:rPr>
                <w:rFonts w:ascii="Verdana" w:hAnsi="Verdana"/>
                <w:sz w:val="20"/>
                <w:szCs w:val="20"/>
                <w:lang w:val="es-ES"/>
              </w:rPr>
              <w:t>resolver</w:t>
            </w:r>
            <w:r w:rsidRPr="001167B8">
              <w:rPr>
                <w:rFonts w:ascii="Verdana" w:hAnsi="Verdana"/>
                <w:sz w:val="20"/>
                <w:szCs w:val="20"/>
                <w:lang w:val="es-ES"/>
              </w:rPr>
              <w:t xml:space="preserve"> las carencias que se detecten, aplicar los requisitos de la GBON y adoptar las medidas necesarias para su cumplimiento:</w:t>
            </w:r>
          </w:p>
          <w:p w14:paraId="5FB47580" w14:textId="448C78B7" w:rsidR="004D38D8" w:rsidRPr="001167B8" w:rsidRDefault="004D38D8" w:rsidP="0033072D">
            <w:pPr>
              <w:pStyle w:val="ListParagraph"/>
              <w:numPr>
                <w:ilvl w:val="0"/>
                <w:numId w:val="35"/>
              </w:numPr>
              <w:spacing w:before="120" w:after="120" w:line="240" w:lineRule="auto"/>
              <w:ind w:left="426" w:hanging="283"/>
              <w:rPr>
                <w:rFonts w:ascii="Verdana" w:hAnsi="Verdana"/>
                <w:sz w:val="20"/>
                <w:szCs w:val="20"/>
                <w:lang w:val="es-ES"/>
              </w:rPr>
            </w:pPr>
            <w:r w:rsidRPr="001167B8">
              <w:rPr>
                <w:rFonts w:ascii="Verdana" w:hAnsi="Verdana"/>
                <w:sz w:val="20"/>
                <w:szCs w:val="20"/>
                <w:lang w:val="es-ES"/>
              </w:rPr>
              <w:t>Revisar los informes de evaluación de</w:t>
            </w:r>
            <w:r w:rsidR="008B4ACD">
              <w:rPr>
                <w:rFonts w:ascii="Verdana" w:hAnsi="Verdana"/>
                <w:sz w:val="20"/>
                <w:szCs w:val="20"/>
                <w:lang w:val="es-ES"/>
              </w:rPr>
              <w:t>l</w:t>
            </w:r>
            <w:r w:rsidRPr="001167B8">
              <w:rPr>
                <w:rFonts w:ascii="Verdana" w:hAnsi="Verdana"/>
                <w:sz w:val="20"/>
                <w:szCs w:val="20"/>
                <w:lang w:val="es-ES"/>
              </w:rPr>
              <w:t xml:space="preserve"> cumplimiento de la GBON y adoptar las medidas necesarias.</w:t>
            </w:r>
          </w:p>
          <w:p w14:paraId="290CA969" w14:textId="77777777" w:rsidR="004D38D8" w:rsidRPr="001167B8" w:rsidRDefault="00602332" w:rsidP="0033072D">
            <w:pPr>
              <w:pStyle w:val="ListParagraph"/>
              <w:numPr>
                <w:ilvl w:val="0"/>
                <w:numId w:val="35"/>
              </w:numPr>
              <w:spacing w:before="120" w:after="120" w:line="240" w:lineRule="auto"/>
              <w:ind w:left="426" w:hanging="283"/>
              <w:rPr>
                <w:rFonts w:ascii="Verdana" w:hAnsi="Verdana"/>
                <w:sz w:val="20"/>
                <w:szCs w:val="20"/>
                <w:lang w:val="es-ES"/>
              </w:rPr>
            </w:pPr>
            <w:r w:rsidRPr="001167B8">
              <w:rPr>
                <w:rFonts w:ascii="Verdana" w:hAnsi="Verdana"/>
                <w:sz w:val="20"/>
                <w:szCs w:val="20"/>
                <w:lang w:val="es-ES"/>
              </w:rPr>
              <w:lastRenderedPageBreak/>
              <w:t>Designar estaciones GBON adicionales e incluir, por ejemplo, estaciones existentes que actualmente no envían informes a nivel internacional o aquellas de organizaciones asociadas con las que se podría negociar y establecer un memorando de entendimiento nacional para que sus estaciones se adhieran a la GBON.</w:t>
            </w:r>
          </w:p>
          <w:p w14:paraId="65CBE8ED" w14:textId="636CE849" w:rsidR="00602332" w:rsidRPr="001167B8" w:rsidRDefault="00602332" w:rsidP="0033072D">
            <w:pPr>
              <w:pStyle w:val="ListParagraph"/>
              <w:numPr>
                <w:ilvl w:val="0"/>
                <w:numId w:val="35"/>
              </w:numPr>
              <w:spacing w:before="120" w:after="120" w:line="240" w:lineRule="auto"/>
              <w:ind w:left="426" w:hanging="283"/>
              <w:rPr>
                <w:rFonts w:ascii="Verdana" w:hAnsi="Verdana"/>
                <w:sz w:val="20"/>
                <w:szCs w:val="20"/>
                <w:lang w:val="es-ES"/>
              </w:rPr>
            </w:pPr>
            <w:r w:rsidRPr="001167B8">
              <w:rPr>
                <w:rFonts w:ascii="Verdana" w:hAnsi="Verdana"/>
                <w:sz w:val="20"/>
                <w:szCs w:val="20"/>
                <w:lang w:val="es-ES"/>
              </w:rPr>
              <w:t xml:space="preserve">Los países menos adelantados y los pequeños Estados insulares en desarrollo (PEID) </w:t>
            </w:r>
            <w:r w:rsidR="008B4ACD">
              <w:rPr>
                <w:rFonts w:ascii="Verdana" w:hAnsi="Verdana"/>
                <w:sz w:val="20"/>
                <w:szCs w:val="20"/>
                <w:lang w:val="es-ES"/>
              </w:rPr>
              <w:t>podrán</w:t>
            </w:r>
            <w:r w:rsidRPr="001167B8">
              <w:rPr>
                <w:rFonts w:ascii="Verdana" w:hAnsi="Verdana"/>
                <w:sz w:val="20"/>
                <w:szCs w:val="20"/>
                <w:lang w:val="es-ES"/>
              </w:rPr>
              <w:t xml:space="preserve"> solicitar financiación del SOFF.</w:t>
            </w:r>
          </w:p>
          <w:p w14:paraId="5AB3A663" w14:textId="77777777" w:rsidR="00430103" w:rsidRPr="001167B8" w:rsidRDefault="00602332" w:rsidP="0033072D">
            <w:pPr>
              <w:pStyle w:val="ListParagraph"/>
              <w:numPr>
                <w:ilvl w:val="0"/>
                <w:numId w:val="35"/>
              </w:numPr>
              <w:spacing w:before="120" w:after="120" w:line="240" w:lineRule="auto"/>
              <w:ind w:left="426" w:hanging="283"/>
              <w:rPr>
                <w:rFonts w:ascii="Verdana" w:hAnsi="Verdana"/>
                <w:sz w:val="20"/>
                <w:szCs w:val="20"/>
                <w:lang w:val="es-ES"/>
              </w:rPr>
            </w:pPr>
            <w:r w:rsidRPr="001167B8">
              <w:rPr>
                <w:rFonts w:ascii="Verdana" w:hAnsi="Verdana"/>
                <w:sz w:val="20"/>
                <w:szCs w:val="20"/>
                <w:lang w:val="es-ES"/>
              </w:rPr>
              <w:t>Otros países en desarrollo aprovecharán las oportunidades de desarrollo de capacidad, incluido el apoyo técnico del SOFF cuando proceda.</w:t>
            </w:r>
          </w:p>
        </w:tc>
      </w:tr>
      <w:tr w:rsidR="009E46A8" w:rsidRPr="00AE4BEE" w14:paraId="528763D9" w14:textId="77777777" w:rsidTr="002D6853">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421A81A8" w14:textId="77777777" w:rsidR="009E46A8" w:rsidRPr="001167B8" w:rsidRDefault="00EC139F" w:rsidP="0033072D">
            <w:pPr>
              <w:spacing w:before="120" w:after="120"/>
              <w:rPr>
                <w:rFonts w:eastAsia="Calibri" w:cs="Calibri"/>
                <w:sz w:val="20"/>
                <w:szCs w:val="20"/>
                <w:lang w:val="es-ES"/>
              </w:rPr>
            </w:pPr>
            <w:r w:rsidRPr="001167B8">
              <w:rPr>
                <w:sz w:val="20"/>
                <w:szCs w:val="20"/>
                <w:lang w:val="es-ES"/>
              </w:rPr>
              <w:lastRenderedPageBreak/>
              <w:t>Centros de Monitorización del WIGOS (centros de PNT de todo el mundo que colaboran con el WDQMS).</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DECDA82" w14:textId="6B4F2998" w:rsidR="009E46A8" w:rsidRPr="001167B8" w:rsidRDefault="00EC139F" w:rsidP="0033072D">
            <w:pPr>
              <w:pStyle w:val="ListParagraph"/>
              <w:numPr>
                <w:ilvl w:val="0"/>
                <w:numId w:val="35"/>
              </w:numPr>
              <w:spacing w:before="120" w:after="120" w:line="240" w:lineRule="auto"/>
              <w:ind w:left="426" w:hanging="283"/>
              <w:rPr>
                <w:rFonts w:ascii="Verdana" w:hAnsi="Verdana"/>
                <w:sz w:val="20"/>
                <w:szCs w:val="20"/>
                <w:lang w:val="es-ES"/>
              </w:rPr>
            </w:pPr>
            <w:r w:rsidRPr="001167B8">
              <w:rPr>
                <w:rFonts w:ascii="Verdana" w:hAnsi="Verdana"/>
                <w:sz w:val="20"/>
                <w:szCs w:val="20"/>
                <w:lang w:val="es-ES"/>
              </w:rPr>
              <w:t xml:space="preserve">Asimilar los datos de la GBON y facilitar la información necesaria sobre el seguimiento del cumplimiento de las obligaciones relativas a la GBON para la herramienta web del Sistema de Control de la Calidad de los Datos del WIGOS. </w:t>
            </w:r>
          </w:p>
        </w:tc>
      </w:tr>
      <w:tr w:rsidR="00602332" w:rsidRPr="00AE4BEE" w14:paraId="7ED3A5B6" w14:textId="77777777" w:rsidTr="002D6853">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2F0E65A2" w14:textId="77777777" w:rsidR="00602332" w:rsidRPr="001167B8" w:rsidRDefault="00AF50B0" w:rsidP="0033072D">
            <w:pPr>
              <w:spacing w:before="120" w:after="120"/>
              <w:rPr>
                <w:rFonts w:eastAsia="Calibri" w:cs="Calibri"/>
                <w:sz w:val="20"/>
                <w:szCs w:val="20"/>
              </w:rPr>
            </w:pPr>
            <w:r w:rsidRPr="001167B8">
              <w:rPr>
                <w:sz w:val="20"/>
                <w:szCs w:val="20"/>
                <w:lang w:val="es-ES"/>
              </w:rPr>
              <w:t>Coordinadores nacionales del WIGOS</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65DBD9C" w14:textId="77777777" w:rsidR="00602332" w:rsidRPr="001167B8" w:rsidRDefault="00602332" w:rsidP="0033072D">
            <w:pPr>
              <w:pStyle w:val="ListParagraph"/>
              <w:numPr>
                <w:ilvl w:val="0"/>
                <w:numId w:val="1"/>
              </w:numPr>
              <w:spacing w:before="120" w:after="120" w:line="240" w:lineRule="auto"/>
              <w:ind w:left="404" w:hanging="284"/>
              <w:rPr>
                <w:rFonts w:ascii="Verdana" w:hAnsi="Verdana"/>
                <w:sz w:val="20"/>
                <w:szCs w:val="20"/>
                <w:lang w:val="es-ES"/>
              </w:rPr>
            </w:pPr>
            <w:r w:rsidRPr="001167B8">
              <w:rPr>
                <w:rFonts w:ascii="Verdana" w:hAnsi="Verdana"/>
                <w:sz w:val="20"/>
                <w:szCs w:val="20"/>
                <w:lang w:val="es-ES"/>
              </w:rPr>
              <w:t>Contribuir al diseño de la GBON, identificar las estaciones de la Red existentes o nuevas que su país o territorio deberá incorporar, y promover o coordinar las actuaciones necesarias a nivel nacional para alcanzar este objetivo.</w:t>
            </w:r>
          </w:p>
          <w:p w14:paraId="653FE7A1" w14:textId="77777777" w:rsidR="00602332" w:rsidRPr="001167B8" w:rsidRDefault="00732E4D" w:rsidP="0033072D">
            <w:pPr>
              <w:pStyle w:val="ListParagraph"/>
              <w:numPr>
                <w:ilvl w:val="0"/>
                <w:numId w:val="1"/>
              </w:numPr>
              <w:spacing w:before="120" w:after="120" w:line="240" w:lineRule="auto"/>
              <w:ind w:left="404" w:hanging="284"/>
              <w:rPr>
                <w:rFonts w:ascii="Verdana" w:hAnsi="Verdana"/>
                <w:sz w:val="20"/>
                <w:szCs w:val="20"/>
                <w:lang w:val="es-ES"/>
              </w:rPr>
            </w:pPr>
            <w:r w:rsidRPr="001167B8">
              <w:rPr>
                <w:rFonts w:ascii="Verdana" w:hAnsi="Verdana"/>
                <w:sz w:val="20"/>
                <w:szCs w:val="20"/>
                <w:lang w:val="es-ES"/>
              </w:rPr>
              <w:t>Efectuar un análisis de carencias de la GBON a nivel nacional e informar a la Secretaría de la OMM sobre las capacidades del país o territorio y los requisitos que podrían no alcanzarse.</w:t>
            </w:r>
          </w:p>
          <w:p w14:paraId="5FA60326" w14:textId="77777777" w:rsidR="00AE5387" w:rsidRPr="001167B8" w:rsidRDefault="00602332" w:rsidP="0033072D">
            <w:pPr>
              <w:pStyle w:val="ListParagraph"/>
              <w:numPr>
                <w:ilvl w:val="0"/>
                <w:numId w:val="1"/>
              </w:numPr>
              <w:spacing w:before="120" w:after="120" w:line="240" w:lineRule="auto"/>
              <w:ind w:left="404" w:hanging="284"/>
              <w:rPr>
                <w:rFonts w:ascii="Verdana" w:hAnsi="Verdana"/>
                <w:sz w:val="20"/>
                <w:szCs w:val="20"/>
                <w:lang w:val="es-ES"/>
              </w:rPr>
            </w:pPr>
            <w:r w:rsidRPr="001167B8">
              <w:rPr>
                <w:rFonts w:ascii="Verdana" w:hAnsi="Verdana"/>
                <w:sz w:val="20"/>
                <w:szCs w:val="20"/>
                <w:lang w:val="es-ES"/>
              </w:rPr>
              <w:t xml:space="preserve">Negociar con las organizaciones asociadas y favorecer la incorporación de estaciones de observación que no pertenezcan a los SMHN cuando cumplan los requisitos de la GBON. </w:t>
            </w:r>
          </w:p>
        </w:tc>
      </w:tr>
      <w:tr w:rsidR="00FB506F" w:rsidRPr="00AE4BEE" w14:paraId="789B0901" w14:textId="77777777" w:rsidTr="002D6853">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18894050" w14:textId="77777777" w:rsidR="00FB506F" w:rsidRPr="001167B8" w:rsidRDefault="00FB506F" w:rsidP="0033072D">
            <w:pPr>
              <w:spacing w:before="120" w:after="120"/>
              <w:rPr>
                <w:rFonts w:eastAsia="Calibri" w:cs="Calibri"/>
                <w:sz w:val="20"/>
                <w:szCs w:val="20"/>
                <w:lang w:val="es-ES"/>
              </w:rPr>
            </w:pPr>
            <w:r w:rsidRPr="001167B8">
              <w:rPr>
                <w:sz w:val="20"/>
                <w:szCs w:val="20"/>
                <w:lang w:val="es-ES"/>
              </w:rPr>
              <w:t>Coordinadores nacionales de OSCAR/Superficie</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750704" w14:textId="77777777" w:rsidR="00FB506F" w:rsidRPr="001167B8" w:rsidRDefault="00FB506F" w:rsidP="0033072D">
            <w:pPr>
              <w:pStyle w:val="ListParagraph"/>
              <w:numPr>
                <w:ilvl w:val="0"/>
                <w:numId w:val="1"/>
              </w:numPr>
              <w:spacing w:before="120" w:after="120" w:line="240" w:lineRule="auto"/>
              <w:ind w:left="404" w:hanging="284"/>
              <w:rPr>
                <w:rFonts w:ascii="Verdana" w:hAnsi="Verdana"/>
                <w:sz w:val="20"/>
                <w:szCs w:val="20"/>
                <w:lang w:val="es-ES"/>
              </w:rPr>
            </w:pPr>
            <w:r w:rsidRPr="001167B8">
              <w:rPr>
                <w:rFonts w:ascii="Verdana" w:hAnsi="Verdana"/>
                <w:sz w:val="20"/>
                <w:szCs w:val="20"/>
                <w:lang w:val="es-ES"/>
              </w:rPr>
              <w:t>Asegurarse de que los metadatos del WIGOS de las estaciones candidatas a la GBON se registran y se mantienen actualizados en OSCAR/Superficie.</w:t>
            </w:r>
          </w:p>
        </w:tc>
      </w:tr>
      <w:tr w:rsidR="00FB506F" w:rsidRPr="00AE4BEE" w14:paraId="3B537802" w14:textId="77777777" w:rsidTr="002D6853">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6EB5626C" w14:textId="77777777" w:rsidR="00FB506F" w:rsidRPr="001167B8" w:rsidRDefault="00FB506F" w:rsidP="0033072D">
            <w:pPr>
              <w:spacing w:before="120" w:after="120"/>
              <w:rPr>
                <w:rFonts w:eastAsia="Calibri" w:cs="Calibri"/>
                <w:sz w:val="20"/>
                <w:szCs w:val="20"/>
              </w:rPr>
            </w:pPr>
            <w:r w:rsidRPr="001167B8">
              <w:rPr>
                <w:sz w:val="20"/>
                <w:szCs w:val="20"/>
                <w:lang w:val="es-ES"/>
              </w:rPr>
              <w:t>Coordinadores nacionales del WDQMS</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F8DBB33" w14:textId="77777777" w:rsidR="00FB506F" w:rsidRPr="001167B8" w:rsidRDefault="005F62BB" w:rsidP="0033072D">
            <w:pPr>
              <w:pStyle w:val="ListParagraph"/>
              <w:numPr>
                <w:ilvl w:val="0"/>
                <w:numId w:val="1"/>
              </w:numPr>
              <w:spacing w:before="120" w:after="120" w:line="240" w:lineRule="auto"/>
              <w:ind w:left="404" w:hanging="284"/>
              <w:rPr>
                <w:rFonts w:ascii="Verdana" w:hAnsi="Verdana"/>
                <w:sz w:val="20"/>
                <w:szCs w:val="20"/>
                <w:lang w:val="es-ES"/>
              </w:rPr>
            </w:pPr>
            <w:r w:rsidRPr="001167B8">
              <w:rPr>
                <w:rFonts w:ascii="Verdana" w:hAnsi="Verdana"/>
                <w:sz w:val="20"/>
                <w:szCs w:val="20"/>
                <w:lang w:val="es-ES"/>
              </w:rPr>
              <w:t>Comprobar y supervisar a nivel nacional que las estaciones de la GBON cumplen los requisitos mediante la herramienta web del Sistema de Control de la Calidad de los Datos del WIGOS, y resolver cualquier incidencia notificada por el Centro Regional del WIGOS.</w:t>
            </w:r>
          </w:p>
        </w:tc>
      </w:tr>
      <w:tr w:rsidR="00602332" w:rsidRPr="00AE4BEE" w14:paraId="0D0E4B3B" w14:textId="77777777" w:rsidTr="002D6853">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0C2FAE76" w14:textId="77777777" w:rsidR="00602332" w:rsidRPr="001167B8" w:rsidRDefault="00602332" w:rsidP="0033072D">
            <w:pPr>
              <w:spacing w:before="120" w:after="120"/>
              <w:rPr>
                <w:rFonts w:eastAsia="Calibri" w:cs="Calibri"/>
                <w:sz w:val="20"/>
                <w:szCs w:val="20"/>
              </w:rPr>
            </w:pPr>
            <w:r w:rsidRPr="001167B8">
              <w:rPr>
                <w:sz w:val="20"/>
                <w:szCs w:val="20"/>
                <w:lang w:val="es-ES"/>
              </w:rPr>
              <w:t>Centros regionales del WIGOS</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C448E28" w14:textId="77777777" w:rsidR="00CD1D94" w:rsidRPr="001167B8" w:rsidRDefault="00602332" w:rsidP="0033072D">
            <w:pPr>
              <w:pStyle w:val="ListParagraph"/>
              <w:numPr>
                <w:ilvl w:val="0"/>
                <w:numId w:val="1"/>
              </w:numPr>
              <w:spacing w:before="120" w:after="120" w:line="240" w:lineRule="auto"/>
              <w:ind w:left="404" w:hanging="284"/>
              <w:rPr>
                <w:rFonts w:ascii="Verdana" w:eastAsia="Calibri" w:hAnsi="Verdana" w:cs="Calibri"/>
                <w:sz w:val="20"/>
                <w:szCs w:val="20"/>
                <w:lang w:val="es-ES"/>
              </w:rPr>
            </w:pPr>
            <w:r w:rsidRPr="001167B8">
              <w:rPr>
                <w:rFonts w:ascii="Verdana" w:hAnsi="Verdana"/>
                <w:sz w:val="20"/>
                <w:szCs w:val="20"/>
                <w:lang w:val="es-ES"/>
              </w:rPr>
              <w:t>Supervisar que las estaciones de observación de la GBON cumplen los requisitos y notificar a los Miembros, a través de sus coordinadores nacionales del Sistema de Control de la Calidad de los Datos del WIGOS, los incidentes detectados.</w:t>
            </w:r>
          </w:p>
        </w:tc>
      </w:tr>
      <w:tr w:rsidR="00602332" w:rsidRPr="00AE4BEE" w14:paraId="3F2DAC5C" w14:textId="77777777" w:rsidTr="002D6853">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7868E0D6" w14:textId="77777777" w:rsidR="00602332" w:rsidRPr="001167B8" w:rsidRDefault="00602332" w:rsidP="0033072D">
            <w:pPr>
              <w:spacing w:before="120" w:after="120"/>
              <w:rPr>
                <w:rFonts w:eastAsia="Calibri" w:cs="Calibri"/>
                <w:sz w:val="20"/>
                <w:szCs w:val="20"/>
                <w:lang w:val="es-ES"/>
              </w:rPr>
            </w:pPr>
            <w:r w:rsidRPr="001167B8">
              <w:rPr>
                <w:sz w:val="20"/>
                <w:szCs w:val="20"/>
                <w:lang w:val="es-ES"/>
              </w:rPr>
              <w:t>Asociaciones regionales y grupos de trabajo sobre infraestructura</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A8659BE" w14:textId="1851FF70" w:rsidR="00602332" w:rsidRPr="001167B8" w:rsidRDefault="00602332" w:rsidP="0033072D">
            <w:pPr>
              <w:pStyle w:val="ListParagraph"/>
              <w:numPr>
                <w:ilvl w:val="0"/>
                <w:numId w:val="1"/>
              </w:numPr>
              <w:spacing w:before="120" w:after="120" w:line="240" w:lineRule="auto"/>
              <w:ind w:left="404" w:hanging="284"/>
              <w:rPr>
                <w:rFonts w:ascii="Verdana" w:hAnsi="Verdana"/>
                <w:sz w:val="20"/>
                <w:szCs w:val="20"/>
                <w:lang w:val="es-ES"/>
              </w:rPr>
            </w:pPr>
            <w:r w:rsidRPr="001167B8">
              <w:rPr>
                <w:rFonts w:ascii="Verdana" w:hAnsi="Verdana"/>
                <w:sz w:val="20"/>
                <w:szCs w:val="20"/>
                <w:lang w:val="es-ES"/>
              </w:rPr>
              <w:t xml:space="preserve">Promover la cooperación regional y el intercambio de datos más allá de las fronteras políticas –compartir beneficios y espacio, proponer mecanismo(s) de priorización para dicha cooperación destinados, por ejemplo, a contribuir a la reducción del riesgo de desastres–; </w:t>
            </w:r>
            <w:r w:rsidR="00B147A7">
              <w:rPr>
                <w:rFonts w:ascii="Verdana" w:hAnsi="Verdana"/>
                <w:sz w:val="20"/>
                <w:szCs w:val="20"/>
                <w:lang w:val="es-ES"/>
              </w:rPr>
              <w:t>f</w:t>
            </w:r>
            <w:r w:rsidRPr="001167B8">
              <w:rPr>
                <w:rFonts w:ascii="Verdana" w:hAnsi="Verdana"/>
                <w:sz w:val="20"/>
                <w:szCs w:val="20"/>
                <w:lang w:val="es-ES"/>
              </w:rPr>
              <w:t xml:space="preserve">acilitar el intercambio de datos de la GBON a través de la infraestructura mundial y regional existente (por ejemplo, los centros del SIO, </w:t>
            </w:r>
            <w:r w:rsidR="00B147A7">
              <w:rPr>
                <w:rFonts w:ascii="Verdana" w:hAnsi="Verdana"/>
                <w:sz w:val="20"/>
                <w:szCs w:val="20"/>
                <w:lang w:val="es-ES"/>
              </w:rPr>
              <w:t>la versión</w:t>
            </w:r>
            <w:r w:rsidRPr="001167B8">
              <w:rPr>
                <w:rFonts w:ascii="Verdana" w:hAnsi="Verdana"/>
                <w:sz w:val="20"/>
                <w:szCs w:val="20"/>
                <w:lang w:val="es-ES"/>
              </w:rPr>
              <w:t xml:space="preserve"> 2.0</w:t>
            </w:r>
            <w:r w:rsidR="00B147A7">
              <w:rPr>
                <w:rFonts w:ascii="Verdana" w:hAnsi="Verdana"/>
                <w:sz w:val="20"/>
                <w:szCs w:val="20"/>
                <w:lang w:val="es-ES"/>
              </w:rPr>
              <w:t xml:space="preserve"> del SIO</w:t>
            </w:r>
            <w:r w:rsidRPr="001167B8">
              <w:rPr>
                <w:rFonts w:ascii="Verdana" w:hAnsi="Verdana"/>
                <w:sz w:val="20"/>
                <w:szCs w:val="20"/>
                <w:lang w:val="es-ES"/>
              </w:rPr>
              <w:t xml:space="preserve"> en la nube).</w:t>
            </w:r>
            <w:bookmarkStart w:id="23" w:name="_Int_syj98Dql"/>
            <w:bookmarkStart w:id="24" w:name="_Int_HqVKCDGC"/>
            <w:bookmarkEnd w:id="23"/>
            <w:bookmarkEnd w:id="24"/>
          </w:p>
        </w:tc>
      </w:tr>
      <w:tr w:rsidR="00602332" w:rsidRPr="00AE4BEE" w14:paraId="5BD7701C" w14:textId="77777777" w:rsidTr="002D6853">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563A1332" w14:textId="0E5997D2" w:rsidR="00602332" w:rsidRPr="001167B8" w:rsidRDefault="00602332" w:rsidP="0033072D">
            <w:pPr>
              <w:spacing w:before="120" w:after="120"/>
              <w:rPr>
                <w:rFonts w:eastAsia="Calibri" w:cs="Calibri"/>
                <w:sz w:val="20"/>
                <w:szCs w:val="20"/>
              </w:rPr>
            </w:pPr>
            <w:r w:rsidRPr="001167B8">
              <w:rPr>
                <w:sz w:val="20"/>
                <w:szCs w:val="20"/>
                <w:lang w:val="es-ES"/>
              </w:rPr>
              <w:lastRenderedPageBreak/>
              <w:t>Secretaría de la</w:t>
            </w:r>
            <w:r w:rsidR="00140521">
              <w:rPr>
                <w:sz w:val="20"/>
                <w:szCs w:val="20"/>
                <w:lang w:val="es-ES"/>
              </w:rPr>
              <w:t> </w:t>
            </w:r>
            <w:r w:rsidRPr="001167B8">
              <w:rPr>
                <w:sz w:val="20"/>
                <w:szCs w:val="20"/>
                <w:lang w:val="es-ES"/>
              </w:rPr>
              <w:t>OMM</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CFF53D6" w14:textId="77777777" w:rsidR="009E46A8" w:rsidRPr="001167B8" w:rsidRDefault="009E46A8" w:rsidP="0033072D">
            <w:pPr>
              <w:pStyle w:val="ListParagraph"/>
              <w:numPr>
                <w:ilvl w:val="0"/>
                <w:numId w:val="34"/>
              </w:numPr>
              <w:spacing w:before="120" w:after="120" w:line="240" w:lineRule="auto"/>
              <w:ind w:left="404" w:hanging="284"/>
              <w:rPr>
                <w:rFonts w:ascii="Verdana" w:hAnsi="Verdana"/>
                <w:sz w:val="20"/>
                <w:szCs w:val="20"/>
                <w:lang w:val="es-ES"/>
              </w:rPr>
            </w:pPr>
            <w:r w:rsidRPr="001167B8">
              <w:rPr>
                <w:rFonts w:ascii="Verdana" w:hAnsi="Verdana"/>
                <w:sz w:val="20"/>
                <w:szCs w:val="20"/>
                <w:lang w:val="es-ES"/>
              </w:rPr>
              <w:t>Proporcionar apoyo técnico a los equipos de la INFCOM para el diseño de la composición de la GBON y el seguimiento del cumplimiento de la Red, lo que incluye:</w:t>
            </w:r>
          </w:p>
          <w:p w14:paraId="3A3FF715" w14:textId="77777777" w:rsidR="009E46A8" w:rsidRPr="001167B8" w:rsidRDefault="009E46A8" w:rsidP="0033072D">
            <w:pPr>
              <w:pStyle w:val="ListParagraph"/>
              <w:numPr>
                <w:ilvl w:val="0"/>
                <w:numId w:val="36"/>
              </w:numPr>
              <w:spacing w:before="120" w:after="120" w:line="240" w:lineRule="auto"/>
              <w:rPr>
                <w:rFonts w:ascii="Verdana" w:hAnsi="Verdana"/>
                <w:sz w:val="20"/>
                <w:szCs w:val="20"/>
                <w:lang w:val="es-ES"/>
              </w:rPr>
            </w:pPr>
            <w:r w:rsidRPr="001167B8">
              <w:rPr>
                <w:rFonts w:ascii="Verdana" w:hAnsi="Verdana"/>
                <w:sz w:val="20"/>
                <w:szCs w:val="20"/>
                <w:lang w:val="es-ES"/>
              </w:rPr>
              <w:t>Servir de enlace a los coordinadores nacionales del WIGOS para recopilar información sobre las capacidades de los Miembros y sobre las estaciones de observación candidatas que desean incorporar a la GBON.</w:t>
            </w:r>
            <w:bookmarkStart w:id="25" w:name="_Int_mZ3Et8uc"/>
            <w:bookmarkEnd w:id="25"/>
          </w:p>
          <w:p w14:paraId="42F6BF43" w14:textId="77777777" w:rsidR="009E46A8" w:rsidRPr="001167B8" w:rsidRDefault="009E46A8" w:rsidP="0033072D">
            <w:pPr>
              <w:pStyle w:val="ListParagraph"/>
              <w:numPr>
                <w:ilvl w:val="0"/>
                <w:numId w:val="36"/>
              </w:numPr>
              <w:spacing w:before="120" w:after="120" w:line="240" w:lineRule="auto"/>
              <w:rPr>
                <w:rFonts w:ascii="Verdana" w:hAnsi="Verdana"/>
                <w:sz w:val="20"/>
                <w:szCs w:val="20"/>
                <w:lang w:val="es-ES"/>
              </w:rPr>
            </w:pPr>
            <w:r w:rsidRPr="001167B8">
              <w:rPr>
                <w:rFonts w:ascii="Verdana" w:hAnsi="Verdana"/>
                <w:sz w:val="20"/>
                <w:szCs w:val="20"/>
                <w:lang w:val="es-ES"/>
              </w:rPr>
              <w:t>Realizar un análisis global de carencias y formular propuestas sobre la designación de estaciones para la GBON.</w:t>
            </w:r>
          </w:p>
          <w:p w14:paraId="0F1456FE" w14:textId="77777777" w:rsidR="009E46A8" w:rsidRPr="001167B8" w:rsidRDefault="009E46A8" w:rsidP="0033072D">
            <w:pPr>
              <w:pStyle w:val="ListParagraph"/>
              <w:numPr>
                <w:ilvl w:val="0"/>
                <w:numId w:val="36"/>
              </w:numPr>
              <w:spacing w:before="120" w:after="120" w:line="240" w:lineRule="auto"/>
              <w:rPr>
                <w:rFonts w:ascii="Verdana" w:hAnsi="Verdana"/>
                <w:sz w:val="20"/>
                <w:szCs w:val="20"/>
                <w:lang w:val="es-ES"/>
              </w:rPr>
            </w:pPr>
            <w:r w:rsidRPr="001167B8">
              <w:rPr>
                <w:rFonts w:ascii="Verdana" w:hAnsi="Verdana"/>
                <w:sz w:val="20"/>
                <w:szCs w:val="20"/>
                <w:lang w:val="es-ES"/>
              </w:rPr>
              <w:t>Proponer la actualización del material de orientación sobre la GBON según sea necesario.</w:t>
            </w:r>
          </w:p>
          <w:p w14:paraId="1A5A0619" w14:textId="2055CA14" w:rsidR="009E46A8" w:rsidRPr="001167B8" w:rsidRDefault="009E46A8" w:rsidP="0033072D">
            <w:pPr>
              <w:pStyle w:val="ListParagraph"/>
              <w:numPr>
                <w:ilvl w:val="0"/>
                <w:numId w:val="36"/>
              </w:numPr>
              <w:spacing w:before="120" w:after="120" w:line="240" w:lineRule="auto"/>
              <w:rPr>
                <w:rFonts w:ascii="Verdana" w:hAnsi="Verdana"/>
                <w:sz w:val="20"/>
                <w:szCs w:val="20"/>
                <w:lang w:val="es-ES"/>
              </w:rPr>
            </w:pPr>
            <w:r w:rsidRPr="001167B8">
              <w:rPr>
                <w:rFonts w:ascii="Verdana" w:hAnsi="Verdana"/>
                <w:sz w:val="20"/>
                <w:szCs w:val="20"/>
                <w:lang w:val="es-ES"/>
              </w:rPr>
              <w:t xml:space="preserve">Analizar la mejor manera de optimizar el uso de las herramientas del WIGOS (WDQMS, OSCAR/Superficie) y ayudar a los equipos de la INFCOM a determinar cómo deberían evolucionar o utilizarse estas herramientas </w:t>
            </w:r>
            <w:r w:rsidR="00B36D88">
              <w:rPr>
                <w:rFonts w:ascii="Verdana" w:hAnsi="Verdana"/>
                <w:sz w:val="20"/>
                <w:szCs w:val="20"/>
                <w:lang w:val="es-ES"/>
              </w:rPr>
              <w:t>al servicio de</w:t>
            </w:r>
            <w:r w:rsidRPr="001167B8">
              <w:rPr>
                <w:rFonts w:ascii="Verdana" w:hAnsi="Verdana"/>
                <w:sz w:val="20"/>
                <w:szCs w:val="20"/>
                <w:lang w:val="es-ES"/>
              </w:rPr>
              <w:t xml:space="preserve"> la GBON.</w:t>
            </w:r>
          </w:p>
          <w:p w14:paraId="0AA8ACED" w14:textId="77777777" w:rsidR="00067DD3" w:rsidRPr="001167B8" w:rsidRDefault="00067DD3" w:rsidP="0033072D">
            <w:pPr>
              <w:pStyle w:val="ListParagraph"/>
              <w:numPr>
                <w:ilvl w:val="0"/>
                <w:numId w:val="36"/>
              </w:numPr>
              <w:spacing w:before="120" w:after="120" w:line="240" w:lineRule="auto"/>
              <w:rPr>
                <w:rFonts w:ascii="Verdana" w:hAnsi="Verdana"/>
                <w:sz w:val="20"/>
                <w:szCs w:val="20"/>
                <w:lang w:val="es-ES"/>
              </w:rPr>
            </w:pPr>
            <w:r w:rsidRPr="001167B8">
              <w:rPr>
                <w:rFonts w:ascii="Verdana" w:hAnsi="Verdana"/>
                <w:sz w:val="20"/>
                <w:szCs w:val="20"/>
                <w:lang w:val="es-ES"/>
              </w:rPr>
              <w:t>Asistir al SC-ON en las evaluaciones de las estaciones y de los Miembros y en la elaboración de los informes correspondientes.</w:t>
            </w:r>
          </w:p>
          <w:p w14:paraId="03FEAA49" w14:textId="77777777" w:rsidR="00602332" w:rsidRPr="001167B8" w:rsidRDefault="00606FF0" w:rsidP="0033072D">
            <w:pPr>
              <w:pStyle w:val="ListParagraph"/>
              <w:numPr>
                <w:ilvl w:val="0"/>
                <w:numId w:val="36"/>
              </w:numPr>
              <w:spacing w:before="120" w:after="120" w:line="240" w:lineRule="auto"/>
              <w:rPr>
                <w:rFonts w:ascii="Verdana" w:hAnsi="Verdana"/>
                <w:sz w:val="20"/>
                <w:szCs w:val="20"/>
                <w:lang w:val="es-ES"/>
              </w:rPr>
            </w:pPr>
            <w:r w:rsidRPr="001167B8">
              <w:rPr>
                <w:rFonts w:ascii="Verdana" w:hAnsi="Verdana"/>
                <w:sz w:val="20"/>
                <w:szCs w:val="20"/>
                <w:lang w:val="es-ES"/>
              </w:rPr>
              <w:t xml:space="preserve">Asistir a los equipos de la INFCOM en la elaboración de los informes de evaluación de los Miembros (trimestral y anualmente), así como en otras tareas relacionadas. </w:t>
            </w:r>
          </w:p>
        </w:tc>
      </w:tr>
      <w:tr w:rsidR="00602332" w:rsidRPr="00AE4BEE" w14:paraId="0C7BAA65" w14:textId="77777777" w:rsidTr="002D6853">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72F4C7D9" w14:textId="77777777" w:rsidR="00602332" w:rsidRPr="001167B8" w:rsidRDefault="00602332" w:rsidP="0033072D">
            <w:pPr>
              <w:spacing w:before="120" w:after="120"/>
              <w:rPr>
                <w:rFonts w:eastAsia="Calibri" w:cs="Calibri"/>
                <w:sz w:val="20"/>
                <w:szCs w:val="20"/>
              </w:rPr>
            </w:pPr>
            <w:r w:rsidRPr="001167B8">
              <w:rPr>
                <w:sz w:val="20"/>
                <w:szCs w:val="20"/>
                <w:lang w:val="es-ES"/>
              </w:rPr>
              <w:t>Secretaría del SOFF</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3A3BC54" w14:textId="66E4DFB5" w:rsidR="00575F3D" w:rsidRPr="001167B8" w:rsidRDefault="00575F3D" w:rsidP="0033072D">
            <w:pPr>
              <w:pStyle w:val="ListParagraph"/>
              <w:numPr>
                <w:ilvl w:val="0"/>
                <w:numId w:val="37"/>
              </w:numPr>
              <w:spacing w:before="120" w:after="120" w:line="240" w:lineRule="auto"/>
              <w:ind w:left="426" w:hanging="283"/>
              <w:rPr>
                <w:rFonts w:ascii="Verdana" w:eastAsiaTheme="minorEastAsia" w:hAnsi="Verdana"/>
                <w:sz w:val="20"/>
                <w:szCs w:val="20"/>
                <w:lang w:val="es-ES"/>
              </w:rPr>
            </w:pPr>
            <w:r w:rsidRPr="001167B8">
              <w:rPr>
                <w:rFonts w:ascii="Verdana" w:hAnsi="Verdana"/>
                <w:sz w:val="20"/>
                <w:szCs w:val="20"/>
                <w:lang w:val="es-ES"/>
              </w:rPr>
              <w:t>Coordinar la</w:t>
            </w:r>
            <w:r w:rsidR="00287333">
              <w:rPr>
                <w:rFonts w:ascii="Verdana" w:hAnsi="Verdana"/>
                <w:sz w:val="20"/>
                <w:szCs w:val="20"/>
                <w:lang w:val="es-ES"/>
              </w:rPr>
              <w:t xml:space="preserve">s actividades </w:t>
            </w:r>
            <w:r w:rsidRPr="001167B8">
              <w:rPr>
                <w:rFonts w:ascii="Verdana" w:hAnsi="Verdana"/>
                <w:sz w:val="20"/>
                <w:szCs w:val="20"/>
                <w:lang w:val="es-ES"/>
              </w:rPr>
              <w:t>del SOFF de acuerdo con el mandato de la Secretaría del SOFF.</w:t>
            </w:r>
          </w:p>
          <w:p w14:paraId="2B7CBCF5" w14:textId="77777777" w:rsidR="00575F3D" w:rsidRPr="001167B8" w:rsidRDefault="00575F3D" w:rsidP="0033072D">
            <w:pPr>
              <w:pStyle w:val="ListParagraph"/>
              <w:numPr>
                <w:ilvl w:val="0"/>
                <w:numId w:val="37"/>
              </w:numPr>
              <w:spacing w:before="120" w:after="120" w:line="240" w:lineRule="auto"/>
              <w:ind w:left="426" w:hanging="283"/>
              <w:rPr>
                <w:rFonts w:ascii="Verdana" w:eastAsiaTheme="minorEastAsia" w:hAnsi="Verdana"/>
                <w:sz w:val="20"/>
                <w:szCs w:val="20"/>
                <w:lang w:val="es-ES"/>
              </w:rPr>
            </w:pPr>
            <w:r w:rsidRPr="001167B8">
              <w:rPr>
                <w:rFonts w:ascii="Verdana" w:hAnsi="Verdana"/>
                <w:sz w:val="20"/>
                <w:szCs w:val="20"/>
                <w:lang w:val="es-ES"/>
              </w:rPr>
              <w:t>Prestar apoyo a los Miembros para que comprendan los elementos operativos del SOFF y contribuyan a la implementación de la GBON colmando las carencias.</w:t>
            </w:r>
          </w:p>
          <w:p w14:paraId="6B69BFB2" w14:textId="77777777" w:rsidR="00575F3D" w:rsidRPr="001167B8" w:rsidRDefault="00575F3D" w:rsidP="0033072D">
            <w:pPr>
              <w:pStyle w:val="ListParagraph"/>
              <w:numPr>
                <w:ilvl w:val="0"/>
                <w:numId w:val="37"/>
              </w:numPr>
              <w:spacing w:before="120" w:after="120" w:line="240" w:lineRule="auto"/>
              <w:ind w:left="426" w:hanging="283"/>
              <w:rPr>
                <w:rFonts w:ascii="Verdana" w:eastAsiaTheme="minorEastAsia" w:hAnsi="Verdana"/>
                <w:sz w:val="20"/>
                <w:szCs w:val="20"/>
                <w:lang w:val="es-ES"/>
              </w:rPr>
            </w:pPr>
            <w:r w:rsidRPr="001167B8">
              <w:rPr>
                <w:rFonts w:ascii="Verdana" w:hAnsi="Verdana"/>
                <w:sz w:val="20"/>
                <w:szCs w:val="20"/>
                <w:lang w:val="es-ES"/>
              </w:rPr>
              <w:t>Colaborar con la Secretaría de la OMM y los equipos de la INFCOM para preparar y proporcionar orientación y formación específicas a los asesores entre pares del SOFF.</w:t>
            </w:r>
          </w:p>
          <w:p w14:paraId="52EBEE73" w14:textId="77777777" w:rsidR="00575F3D" w:rsidRPr="001167B8" w:rsidRDefault="00575F3D" w:rsidP="0033072D">
            <w:pPr>
              <w:pStyle w:val="ListParagraph"/>
              <w:numPr>
                <w:ilvl w:val="0"/>
                <w:numId w:val="37"/>
              </w:numPr>
              <w:spacing w:before="120" w:after="120" w:line="240" w:lineRule="auto"/>
              <w:ind w:left="426" w:hanging="283"/>
              <w:rPr>
                <w:rFonts w:ascii="Verdana" w:eastAsiaTheme="minorEastAsia" w:hAnsi="Verdana"/>
                <w:sz w:val="20"/>
                <w:szCs w:val="20"/>
                <w:lang w:val="es-ES"/>
              </w:rPr>
            </w:pPr>
            <w:r w:rsidRPr="001167B8">
              <w:rPr>
                <w:rFonts w:ascii="Verdana" w:hAnsi="Verdana"/>
                <w:sz w:val="20"/>
                <w:szCs w:val="20"/>
                <w:lang w:val="es-ES"/>
              </w:rPr>
              <w:t>Colaborar con la Secretaría de la OMM y los equipos de la INFCOM en la identificación de oportunidades de países pertenecientes a la GBON para la toma de decisiones sobre la asignación de recursos del SOFF.</w:t>
            </w:r>
          </w:p>
          <w:p w14:paraId="40278313" w14:textId="77777777" w:rsidR="00575F3D" w:rsidRPr="001167B8" w:rsidRDefault="00575F3D" w:rsidP="0033072D">
            <w:pPr>
              <w:pStyle w:val="ListParagraph"/>
              <w:numPr>
                <w:ilvl w:val="0"/>
                <w:numId w:val="37"/>
              </w:numPr>
              <w:spacing w:before="120" w:after="120" w:line="240" w:lineRule="auto"/>
              <w:ind w:left="426" w:hanging="283"/>
              <w:rPr>
                <w:rFonts w:ascii="Verdana" w:eastAsiaTheme="minorEastAsia" w:hAnsi="Verdana"/>
                <w:sz w:val="20"/>
                <w:szCs w:val="20"/>
                <w:lang w:val="es-ES"/>
              </w:rPr>
            </w:pPr>
            <w:r w:rsidRPr="001167B8">
              <w:rPr>
                <w:rFonts w:ascii="Verdana" w:hAnsi="Verdana"/>
                <w:sz w:val="20"/>
                <w:szCs w:val="20"/>
                <w:lang w:val="es-ES"/>
              </w:rPr>
              <w:t>Colaborar con la Secretaría de la OMM y los equipos de la INFCOM para determinar las funciones de la OMM como autoridad técnica del SOFF.</w:t>
            </w:r>
          </w:p>
          <w:p w14:paraId="46DC4CD0" w14:textId="77777777" w:rsidR="00602332" w:rsidRPr="001167B8" w:rsidRDefault="00575F3D" w:rsidP="0033072D">
            <w:pPr>
              <w:pStyle w:val="ListParagraph"/>
              <w:numPr>
                <w:ilvl w:val="0"/>
                <w:numId w:val="37"/>
              </w:numPr>
              <w:spacing w:before="120" w:after="120" w:line="240" w:lineRule="auto"/>
              <w:ind w:left="426" w:hanging="283"/>
              <w:rPr>
                <w:rFonts w:ascii="Verdana" w:eastAsiaTheme="minorEastAsia" w:hAnsi="Verdana" w:cstheme="minorEastAsia"/>
                <w:sz w:val="20"/>
                <w:szCs w:val="20"/>
                <w:lang w:val="es-ES"/>
              </w:rPr>
            </w:pPr>
            <w:r w:rsidRPr="001167B8">
              <w:rPr>
                <w:rFonts w:ascii="Verdana" w:hAnsi="Verdana"/>
                <w:sz w:val="20"/>
                <w:szCs w:val="20"/>
                <w:lang w:val="es-ES"/>
              </w:rPr>
              <w:t>Colaborar con la Secretaría de la OMM y los equipos de la INFCOM en la elaboración de informes específicos del Sistema de Control de la Calidad de los Datos del WIGOS, o de funciones de OSCAR/Superficie para el SOFF.</w:t>
            </w:r>
          </w:p>
        </w:tc>
      </w:tr>
      <w:tr w:rsidR="00FB506F" w:rsidRPr="00AE4BEE" w14:paraId="32FB58F0" w14:textId="77777777" w:rsidTr="002D6853">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7F44AE91" w14:textId="1AFFD827" w:rsidR="00FB506F" w:rsidRPr="001167B8" w:rsidRDefault="00FB506F" w:rsidP="0033072D">
            <w:pPr>
              <w:spacing w:before="120" w:after="120"/>
              <w:rPr>
                <w:rFonts w:eastAsia="Calibri" w:cs="Calibri"/>
                <w:sz w:val="20"/>
                <w:szCs w:val="20"/>
              </w:rPr>
            </w:pPr>
            <w:r w:rsidRPr="001167B8">
              <w:rPr>
                <w:sz w:val="20"/>
                <w:szCs w:val="20"/>
                <w:lang w:val="es-ES"/>
              </w:rPr>
              <w:t>Presidente de la</w:t>
            </w:r>
            <w:r w:rsidR="00140521">
              <w:rPr>
                <w:sz w:val="20"/>
                <w:szCs w:val="20"/>
                <w:lang w:val="es-ES"/>
              </w:rPr>
              <w:t> </w:t>
            </w:r>
            <w:r w:rsidRPr="001167B8">
              <w:rPr>
                <w:sz w:val="20"/>
                <w:szCs w:val="20"/>
                <w:lang w:val="es-ES"/>
              </w:rPr>
              <w:t>INFCOM</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5A7306" w14:textId="2304DAB1" w:rsidR="00067DD3" w:rsidRPr="001167B8" w:rsidRDefault="000C03CC" w:rsidP="0033072D">
            <w:pPr>
              <w:pStyle w:val="ListParagraph"/>
              <w:numPr>
                <w:ilvl w:val="0"/>
                <w:numId w:val="1"/>
              </w:numPr>
              <w:spacing w:before="120" w:after="120" w:line="240" w:lineRule="auto"/>
              <w:ind w:left="426" w:hanging="284"/>
              <w:rPr>
                <w:rFonts w:ascii="Verdana" w:hAnsi="Verdana"/>
                <w:sz w:val="20"/>
                <w:szCs w:val="20"/>
                <w:lang w:val="es-ES"/>
              </w:rPr>
            </w:pPr>
            <w:r w:rsidRPr="001167B8">
              <w:rPr>
                <w:rFonts w:ascii="Verdana" w:hAnsi="Verdana"/>
                <w:sz w:val="20"/>
                <w:szCs w:val="20"/>
                <w:lang w:val="es-ES"/>
              </w:rPr>
              <w:t xml:space="preserve">Revisar la lista recomendada de estaciones que se incluirán en la composición inicial de la GBON en consulta con el Grupo de gestión y la </w:t>
            </w:r>
            <w:proofErr w:type="gramStart"/>
            <w:r w:rsidRPr="001167B8">
              <w:rPr>
                <w:rFonts w:ascii="Verdana" w:hAnsi="Verdana"/>
                <w:sz w:val="20"/>
                <w:szCs w:val="20"/>
                <w:lang w:val="es-ES"/>
              </w:rPr>
              <w:t>Presidenta</w:t>
            </w:r>
            <w:proofErr w:type="gramEnd"/>
            <w:r w:rsidRPr="001167B8">
              <w:rPr>
                <w:rFonts w:ascii="Verdana" w:hAnsi="Verdana"/>
                <w:sz w:val="20"/>
                <w:szCs w:val="20"/>
                <w:lang w:val="es-ES"/>
              </w:rPr>
              <w:t xml:space="preserve"> del SC-ON en particular.</w:t>
            </w:r>
          </w:p>
        </w:tc>
      </w:tr>
      <w:tr w:rsidR="00602332" w:rsidRPr="00AE4BEE" w14:paraId="61C0E8A9" w14:textId="77777777" w:rsidTr="002D6853">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6F8FCC05" w14:textId="77777777" w:rsidR="00602332" w:rsidRPr="001167B8" w:rsidRDefault="00575F3D" w:rsidP="0033072D">
            <w:pPr>
              <w:spacing w:before="120" w:after="120"/>
              <w:rPr>
                <w:rFonts w:eastAsia="Calibri" w:cs="Calibri"/>
                <w:sz w:val="20"/>
                <w:szCs w:val="20"/>
              </w:rPr>
            </w:pPr>
            <w:r w:rsidRPr="001167B8">
              <w:rPr>
                <w:sz w:val="20"/>
                <w:szCs w:val="20"/>
                <w:lang w:val="es-ES"/>
              </w:rPr>
              <w:t>Equipos de la INFCOM</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A92DE0A" w14:textId="77777777" w:rsidR="00606FF0" w:rsidRPr="001167B8" w:rsidRDefault="00606FF0" w:rsidP="0033072D">
            <w:pPr>
              <w:pStyle w:val="ListParagraph"/>
              <w:numPr>
                <w:ilvl w:val="0"/>
                <w:numId w:val="1"/>
              </w:numPr>
              <w:spacing w:before="120" w:after="120" w:line="240" w:lineRule="auto"/>
              <w:ind w:left="404" w:hanging="284"/>
              <w:rPr>
                <w:rFonts w:ascii="Verdana" w:hAnsi="Verdana"/>
                <w:sz w:val="20"/>
                <w:szCs w:val="20"/>
                <w:lang w:val="es-ES"/>
              </w:rPr>
            </w:pPr>
            <w:r w:rsidRPr="001167B8">
              <w:rPr>
                <w:rFonts w:ascii="Verdana" w:hAnsi="Verdana"/>
                <w:sz w:val="20"/>
                <w:szCs w:val="20"/>
                <w:lang w:val="es-ES"/>
              </w:rPr>
              <w:t>Elaborar los informes de evaluación de los Miembros (trimestral y anualmente) con la ayuda de la Secretaría de la OMM.</w:t>
            </w:r>
          </w:p>
          <w:p w14:paraId="6F5D1A25" w14:textId="1511BA4F" w:rsidR="00602332" w:rsidRPr="001167B8" w:rsidRDefault="00602332" w:rsidP="0033072D">
            <w:pPr>
              <w:pStyle w:val="ListParagraph"/>
              <w:numPr>
                <w:ilvl w:val="0"/>
                <w:numId w:val="1"/>
              </w:numPr>
              <w:spacing w:before="120" w:after="120" w:line="240" w:lineRule="auto"/>
              <w:ind w:left="404" w:hanging="284"/>
              <w:rPr>
                <w:rFonts w:ascii="Verdana" w:hAnsi="Verdana"/>
                <w:sz w:val="20"/>
                <w:szCs w:val="20"/>
                <w:lang w:val="es-ES"/>
              </w:rPr>
            </w:pPr>
            <w:r w:rsidRPr="001167B8">
              <w:rPr>
                <w:rFonts w:ascii="Verdana" w:hAnsi="Verdana"/>
                <w:sz w:val="20"/>
                <w:szCs w:val="20"/>
                <w:lang w:val="es-ES"/>
              </w:rPr>
              <w:lastRenderedPageBreak/>
              <w:t>Elaborar las guías, procesos y procedimientos técnicos necesarios para lograr una implementación expedita y eficiente de la GBON y adoptar las medidas requeridas para realizar un seguimiento eficaz del rendimiento y la conformidad de la red</w:t>
            </w:r>
            <w:r w:rsidR="001714B0">
              <w:rPr>
                <w:rFonts w:ascii="Verdana" w:hAnsi="Verdana"/>
                <w:sz w:val="20"/>
                <w:szCs w:val="20"/>
                <w:lang w:val="es-ES"/>
              </w:rPr>
              <w:t>.</w:t>
            </w:r>
          </w:p>
        </w:tc>
      </w:tr>
      <w:tr w:rsidR="00FB506F" w:rsidRPr="00AE4BEE" w14:paraId="22E8C8F1" w14:textId="77777777" w:rsidTr="002D6853">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40AA98E6" w14:textId="712CC7F8" w:rsidR="00FB506F" w:rsidRPr="001167B8" w:rsidRDefault="00FB506F" w:rsidP="0033072D">
            <w:pPr>
              <w:spacing w:before="120" w:after="120"/>
              <w:rPr>
                <w:rFonts w:eastAsia="Calibri" w:cs="Calibri"/>
                <w:sz w:val="20"/>
                <w:szCs w:val="20"/>
              </w:rPr>
            </w:pPr>
            <w:r w:rsidRPr="001167B8">
              <w:rPr>
                <w:sz w:val="20"/>
                <w:szCs w:val="20"/>
                <w:lang w:val="es-ES"/>
              </w:rPr>
              <w:lastRenderedPageBreak/>
              <w:t>Reunión de la</w:t>
            </w:r>
            <w:r w:rsidR="00140521">
              <w:rPr>
                <w:sz w:val="20"/>
                <w:szCs w:val="20"/>
                <w:lang w:val="es-ES"/>
              </w:rPr>
              <w:t> </w:t>
            </w:r>
            <w:r w:rsidRPr="001167B8">
              <w:rPr>
                <w:sz w:val="20"/>
                <w:szCs w:val="20"/>
                <w:lang w:val="es-ES"/>
              </w:rPr>
              <w:t>INFCOM</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BB892E8" w14:textId="77777777" w:rsidR="00FB506F" w:rsidRPr="001167B8" w:rsidRDefault="00FB506F" w:rsidP="0033072D">
            <w:pPr>
              <w:pStyle w:val="ListParagraph"/>
              <w:numPr>
                <w:ilvl w:val="0"/>
                <w:numId w:val="1"/>
              </w:numPr>
              <w:spacing w:before="120" w:after="120" w:line="240" w:lineRule="auto"/>
              <w:ind w:left="404" w:hanging="284"/>
              <w:rPr>
                <w:rFonts w:ascii="Verdana" w:hAnsi="Verdana"/>
                <w:sz w:val="20"/>
                <w:szCs w:val="20"/>
                <w:lang w:val="es-ES"/>
              </w:rPr>
            </w:pPr>
            <w:r w:rsidRPr="001167B8">
              <w:rPr>
                <w:rFonts w:ascii="Verdana" w:hAnsi="Verdana"/>
                <w:sz w:val="20"/>
                <w:szCs w:val="20"/>
                <w:lang w:val="es-ES"/>
              </w:rPr>
              <w:t>Aprobar la composición de la GBON en su reunión.</w:t>
            </w:r>
          </w:p>
        </w:tc>
      </w:tr>
      <w:tr w:rsidR="00FB506F" w:rsidRPr="00AE4BEE" w14:paraId="60755EE8" w14:textId="77777777" w:rsidTr="002D6853">
        <w:tc>
          <w:tcPr>
            <w:tcW w:w="1192" w:type="pct"/>
            <w:tcBorders>
              <w:top w:val="single" w:sz="8" w:space="0" w:color="auto"/>
              <w:left w:val="single" w:sz="8" w:space="0" w:color="auto"/>
              <w:bottom w:val="single" w:sz="8" w:space="0" w:color="auto"/>
              <w:right w:val="single" w:sz="8" w:space="0" w:color="auto"/>
            </w:tcBorders>
            <w:shd w:val="clear" w:color="auto" w:fill="FFFFFF" w:themeFill="background1"/>
          </w:tcPr>
          <w:p w14:paraId="5771865D" w14:textId="77777777" w:rsidR="00FB506F" w:rsidRPr="001167B8" w:rsidRDefault="00FB506F" w:rsidP="0033072D">
            <w:pPr>
              <w:spacing w:before="120" w:after="120"/>
              <w:rPr>
                <w:rFonts w:eastAsia="Calibri" w:cs="Calibri"/>
                <w:sz w:val="20"/>
                <w:szCs w:val="20"/>
              </w:rPr>
            </w:pPr>
            <w:r w:rsidRPr="001167B8">
              <w:rPr>
                <w:sz w:val="20"/>
                <w:szCs w:val="20"/>
                <w:lang w:val="es-ES"/>
              </w:rPr>
              <w:t>Congreso</w:t>
            </w:r>
          </w:p>
        </w:tc>
        <w:tc>
          <w:tcPr>
            <w:tcW w:w="38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93C7C32" w14:textId="77777777" w:rsidR="00FB506F" w:rsidRPr="001167B8" w:rsidRDefault="00FB506F" w:rsidP="0033072D">
            <w:pPr>
              <w:pStyle w:val="ListParagraph"/>
              <w:numPr>
                <w:ilvl w:val="0"/>
                <w:numId w:val="1"/>
              </w:numPr>
              <w:spacing w:before="120" w:after="120" w:line="240" w:lineRule="auto"/>
              <w:ind w:left="404" w:hanging="284"/>
              <w:rPr>
                <w:rFonts w:ascii="Verdana" w:hAnsi="Verdana"/>
                <w:sz w:val="20"/>
                <w:szCs w:val="20"/>
                <w:lang w:val="es-ES"/>
              </w:rPr>
            </w:pPr>
            <w:r w:rsidRPr="001167B8">
              <w:rPr>
                <w:rFonts w:ascii="Verdana" w:hAnsi="Verdana"/>
                <w:sz w:val="20"/>
                <w:szCs w:val="20"/>
                <w:lang w:val="es-ES"/>
              </w:rPr>
              <w:t>Adoptar la lista de estaciones que se incluirán en la composición inicial de la GBON (que posteriormente delega a la INFCOM para el mantenimiento de la red).</w:t>
            </w:r>
          </w:p>
        </w:tc>
      </w:tr>
    </w:tbl>
    <w:p w14:paraId="11C6D4D5" w14:textId="77777777" w:rsidR="00D44EA6" w:rsidRPr="001167B8" w:rsidRDefault="00C97B4E" w:rsidP="00B14646">
      <w:pPr>
        <w:pStyle w:val="ListParagraph"/>
        <w:spacing w:before="480" w:after="200" w:line="276" w:lineRule="auto"/>
        <w:ind w:left="357" w:hanging="357"/>
        <w:outlineLvl w:val="2"/>
        <w:rPr>
          <w:rFonts w:ascii="Verdana" w:hAnsi="Verdana"/>
          <w:b/>
          <w:bCs/>
          <w:sz w:val="20"/>
          <w:szCs w:val="20"/>
          <w:lang w:val="es-ES"/>
        </w:rPr>
      </w:pPr>
      <w:r w:rsidRPr="001167B8">
        <w:rPr>
          <w:rFonts w:ascii="Verdana" w:hAnsi="Verdana"/>
          <w:b/>
          <w:bCs/>
          <w:sz w:val="20"/>
          <w:szCs w:val="20"/>
          <w:lang w:val="es-ES"/>
        </w:rPr>
        <w:t>5.2</w:t>
      </w:r>
      <w:r w:rsidRPr="001167B8">
        <w:rPr>
          <w:rFonts w:ascii="Verdana" w:hAnsi="Verdana"/>
          <w:sz w:val="20"/>
          <w:szCs w:val="20"/>
          <w:lang w:val="es-ES"/>
        </w:rPr>
        <w:tab/>
      </w:r>
      <w:r w:rsidRPr="001167B8">
        <w:rPr>
          <w:rFonts w:ascii="Verdana" w:hAnsi="Verdana"/>
          <w:sz w:val="20"/>
          <w:szCs w:val="20"/>
          <w:lang w:val="es-ES"/>
        </w:rPr>
        <w:tab/>
      </w:r>
      <w:r w:rsidRPr="001167B8">
        <w:rPr>
          <w:rFonts w:ascii="Verdana" w:hAnsi="Verdana"/>
          <w:b/>
          <w:bCs/>
          <w:sz w:val="20"/>
          <w:szCs w:val="20"/>
          <w:lang w:val="es-ES"/>
        </w:rPr>
        <w:t>Análisis de carencias de la GBON a nivel nacional</w:t>
      </w:r>
    </w:p>
    <w:p w14:paraId="13DFAE19" w14:textId="3E19C22F" w:rsidR="00D07903" w:rsidRPr="001167B8" w:rsidRDefault="00D07903" w:rsidP="00B14646">
      <w:pPr>
        <w:pStyle w:val="ListParagraph"/>
        <w:spacing w:after="240" w:line="240" w:lineRule="exact"/>
        <w:ind w:left="0"/>
        <w:rPr>
          <w:rFonts w:ascii="Verdana" w:hAnsi="Verdana"/>
          <w:sz w:val="20"/>
          <w:szCs w:val="20"/>
          <w:lang w:val="es-ES"/>
        </w:rPr>
      </w:pPr>
      <w:r w:rsidRPr="001167B8">
        <w:rPr>
          <w:rFonts w:ascii="Verdana" w:hAnsi="Verdana"/>
          <w:sz w:val="20"/>
          <w:szCs w:val="20"/>
          <w:lang w:val="es-ES"/>
        </w:rPr>
        <w:t xml:space="preserve">Para implementar la GBON a nivel nacional, se alienta a los Miembros a que efectúen el análisis de carencias de la red a nivel nacional para comprender las carencias existentes en las redes de observación correspondientes y permitir que se identifiquen </w:t>
      </w:r>
      <w:r w:rsidR="00AB178A">
        <w:rPr>
          <w:rFonts w:ascii="Verdana" w:hAnsi="Verdana"/>
          <w:sz w:val="20"/>
          <w:szCs w:val="20"/>
          <w:lang w:val="es-ES"/>
        </w:rPr>
        <w:t>la</w:t>
      </w:r>
      <w:r w:rsidRPr="001167B8">
        <w:rPr>
          <w:rFonts w:ascii="Verdana" w:hAnsi="Verdana"/>
          <w:sz w:val="20"/>
          <w:szCs w:val="20"/>
          <w:lang w:val="es-ES"/>
        </w:rPr>
        <w:t>s contribuciones nacionales a la composición de la GBON destinadas a resolver las carencias detectadas.</w:t>
      </w:r>
    </w:p>
    <w:p w14:paraId="0726A9D6" w14:textId="4C443BB9" w:rsidR="00D07903" w:rsidRPr="001167B8" w:rsidRDefault="00D07903" w:rsidP="00B14646">
      <w:pPr>
        <w:pStyle w:val="ListParagraph"/>
        <w:spacing w:after="240" w:line="240" w:lineRule="exact"/>
        <w:ind w:left="0"/>
        <w:rPr>
          <w:rFonts w:ascii="Verdana" w:hAnsi="Verdana"/>
          <w:sz w:val="20"/>
          <w:szCs w:val="20"/>
          <w:lang w:val="es-ES"/>
        </w:rPr>
      </w:pPr>
      <w:r w:rsidRPr="001167B8">
        <w:rPr>
          <w:rFonts w:ascii="Verdana" w:hAnsi="Verdana"/>
          <w:sz w:val="20"/>
          <w:szCs w:val="20"/>
          <w:lang w:val="es-ES"/>
        </w:rPr>
        <w:t xml:space="preserve">El análisis de carencias constituye la fase inicial </w:t>
      </w:r>
      <w:r w:rsidR="00E5381C">
        <w:rPr>
          <w:rFonts w:ascii="Verdana" w:hAnsi="Verdana"/>
          <w:sz w:val="20"/>
          <w:szCs w:val="20"/>
          <w:lang w:val="es-ES"/>
        </w:rPr>
        <w:t xml:space="preserve">de </w:t>
      </w:r>
      <w:r w:rsidRPr="001167B8">
        <w:rPr>
          <w:rFonts w:ascii="Verdana" w:hAnsi="Verdana"/>
          <w:sz w:val="20"/>
          <w:szCs w:val="20"/>
          <w:lang w:val="es-ES"/>
        </w:rPr>
        <w:t xml:space="preserve">la aplicación de </w:t>
      </w:r>
      <w:r w:rsidR="009E3DF7">
        <w:rPr>
          <w:rFonts w:ascii="Verdana" w:hAnsi="Verdana"/>
          <w:sz w:val="20"/>
          <w:szCs w:val="20"/>
          <w:lang w:val="es-ES"/>
        </w:rPr>
        <w:t>las disposiciones</w:t>
      </w:r>
      <w:r w:rsidRPr="001167B8">
        <w:rPr>
          <w:rFonts w:ascii="Verdana" w:hAnsi="Verdana"/>
          <w:sz w:val="20"/>
          <w:szCs w:val="20"/>
          <w:lang w:val="es-ES"/>
        </w:rPr>
        <w:t xml:space="preserve"> relativa</w:t>
      </w:r>
      <w:r w:rsidR="009E3DF7">
        <w:rPr>
          <w:rFonts w:ascii="Verdana" w:hAnsi="Verdana"/>
          <w:sz w:val="20"/>
          <w:szCs w:val="20"/>
          <w:lang w:val="es-ES"/>
        </w:rPr>
        <w:t>s</w:t>
      </w:r>
      <w:r w:rsidRPr="001167B8">
        <w:rPr>
          <w:rFonts w:ascii="Verdana" w:hAnsi="Verdana"/>
          <w:sz w:val="20"/>
          <w:szCs w:val="20"/>
          <w:lang w:val="es-ES"/>
        </w:rPr>
        <w:t xml:space="preserve"> a la GBON. El análisis tiene por objeto definir las carencias que presentan las redes de observaci</w:t>
      </w:r>
      <w:r w:rsidR="00E052B0" w:rsidRPr="001167B8">
        <w:rPr>
          <w:rFonts w:ascii="Verdana" w:hAnsi="Verdana"/>
          <w:sz w:val="20"/>
          <w:szCs w:val="20"/>
          <w:lang w:val="es-ES"/>
        </w:rPr>
        <w:t>ón</w:t>
      </w:r>
      <w:r w:rsidRPr="001167B8">
        <w:rPr>
          <w:rFonts w:ascii="Verdana" w:hAnsi="Verdana"/>
          <w:sz w:val="20"/>
          <w:szCs w:val="20"/>
          <w:lang w:val="es-ES"/>
        </w:rPr>
        <w:t xml:space="preserve"> en superficie, en altitud y marina existentes en relación con los requisitos de la GBON. En otras palabras, proporciona la base para identificar el número de estaciones de observación que deben instalarse o perfeccionarse para cumplir los requisitos de la reglamentación relativa a la GBON.</w:t>
      </w:r>
    </w:p>
    <w:p w14:paraId="714E256B" w14:textId="77777777" w:rsidR="00D07903" w:rsidRPr="001167B8" w:rsidRDefault="00D07903" w:rsidP="00B14646">
      <w:pPr>
        <w:pStyle w:val="ListParagraph"/>
        <w:spacing w:after="240" w:line="240" w:lineRule="exact"/>
        <w:ind w:left="0"/>
        <w:rPr>
          <w:rFonts w:ascii="Verdana" w:hAnsi="Verdana"/>
          <w:sz w:val="20"/>
          <w:szCs w:val="20"/>
          <w:lang w:val="es-ES"/>
        </w:rPr>
      </w:pPr>
      <w:r w:rsidRPr="001167B8">
        <w:rPr>
          <w:rFonts w:ascii="Verdana" w:hAnsi="Verdana"/>
          <w:sz w:val="20"/>
          <w:szCs w:val="20"/>
          <w:lang w:val="es-ES"/>
        </w:rPr>
        <w:t>Las directrices describen por etapas el proceso para definir el análisis de carencias de la GBON a nivel nacional en función de los requisitos de la Red. Los resultados sirven a los Miembros para evaluar si su red actual se ajusta a los requisitos, así como planificar medidas destinadas a perfeccionar las redes de observación en caso necesario y asignar las primeras estaciones a la red GBON.</w:t>
      </w:r>
    </w:p>
    <w:p w14:paraId="5DFE804A" w14:textId="2CE277DA" w:rsidR="433D376C" w:rsidRPr="001167B8" w:rsidRDefault="00D07903" w:rsidP="00B14646">
      <w:pPr>
        <w:pStyle w:val="ListParagraph"/>
        <w:spacing w:after="240" w:line="240" w:lineRule="exact"/>
        <w:ind w:left="0"/>
        <w:rPr>
          <w:rFonts w:ascii="Verdana" w:hAnsi="Verdana"/>
          <w:sz w:val="20"/>
          <w:szCs w:val="20"/>
          <w:lang w:val="es-ES"/>
        </w:rPr>
      </w:pPr>
      <w:r w:rsidRPr="001167B8">
        <w:rPr>
          <w:rFonts w:ascii="Verdana" w:hAnsi="Verdana"/>
          <w:sz w:val="20"/>
          <w:szCs w:val="20"/>
          <w:lang w:val="es-ES"/>
        </w:rPr>
        <w:t xml:space="preserve">Una vez concluido, el análisis de carencias de la GBON a nivel nacional proporciona una base objetiva y cuantitativa para </w:t>
      </w:r>
      <w:r w:rsidR="00182A3F">
        <w:rPr>
          <w:rFonts w:ascii="Verdana" w:hAnsi="Verdana"/>
          <w:sz w:val="20"/>
          <w:szCs w:val="20"/>
          <w:lang w:val="es-ES"/>
        </w:rPr>
        <w:t xml:space="preserve">preparar </w:t>
      </w:r>
      <w:r w:rsidRPr="001167B8">
        <w:rPr>
          <w:rFonts w:ascii="Verdana" w:hAnsi="Verdana"/>
          <w:sz w:val="20"/>
          <w:szCs w:val="20"/>
          <w:lang w:val="es-ES"/>
        </w:rPr>
        <w:t>el plan de contribuciones nacionales a la GBON (detallado en la sección 4.4 y en el anexo 2), que tiene en cuenta los mejores enfoques y actividades para ajustarse a la reglamentación relativa a la GBON. En la sección 3.2.1 se ofrece un resumen de la reglamentación relativa a la GBON.</w:t>
      </w:r>
    </w:p>
    <w:p w14:paraId="078C91FE" w14:textId="77777777" w:rsidR="00E142D9" w:rsidRPr="002E7790" w:rsidRDefault="00CF7552" w:rsidP="00B14646">
      <w:pPr>
        <w:keepNext/>
        <w:keepLines/>
        <w:spacing w:after="240" w:line="240" w:lineRule="exact"/>
        <w:rPr>
          <w:rFonts w:eastAsia="MS Gothic" w:cs="Segoe UI"/>
          <w:b/>
          <w:bCs/>
          <w:lang w:val="es-ES"/>
        </w:rPr>
      </w:pPr>
      <w:bookmarkStart w:id="26" w:name="_Toc103695246"/>
      <w:bookmarkStart w:id="27" w:name="_Toc103697457"/>
      <w:bookmarkStart w:id="28" w:name="_Toc103697486"/>
      <w:bookmarkStart w:id="29" w:name="_Toc105166398"/>
      <w:bookmarkEnd w:id="26"/>
      <w:bookmarkEnd w:id="27"/>
      <w:bookmarkEnd w:id="28"/>
      <w:r>
        <w:rPr>
          <w:b/>
          <w:bCs/>
          <w:lang w:val="es-ES"/>
        </w:rPr>
        <w:t>5.2.1</w:t>
      </w:r>
      <w:r>
        <w:rPr>
          <w:lang w:val="es-ES"/>
        </w:rPr>
        <w:tab/>
      </w:r>
      <w:r>
        <w:rPr>
          <w:b/>
          <w:bCs/>
          <w:lang w:val="es-ES"/>
        </w:rPr>
        <w:t>Etapas del análisis de carencias</w:t>
      </w:r>
      <w:bookmarkEnd w:id="29"/>
    </w:p>
    <w:p w14:paraId="36C98176" w14:textId="77777777" w:rsidR="00E142D9" w:rsidRPr="002E7790" w:rsidRDefault="00E142D9" w:rsidP="00B14646">
      <w:pPr>
        <w:keepNext/>
        <w:keepLines/>
        <w:spacing w:after="240" w:line="240" w:lineRule="exact"/>
        <w:rPr>
          <w:rFonts w:eastAsia="Verdana" w:cs="Segoe UI"/>
          <w:lang w:val="es-ES"/>
        </w:rPr>
      </w:pPr>
      <w:r>
        <w:rPr>
          <w:lang w:val="es-ES"/>
        </w:rPr>
        <w:t>El análisis global de carencias proporciona una estimación cuantitativa del número de estaciones de observación terrestres en superficie y en altitud por país que se necesitan para satisfacer los requisitos de la GBON. La Secretaría de la OMM concluye el análisis global de las estaciones que comparten datos a nivel internacional a partir de la información disponible en la herramienta web del Sistema de Control de la Calidad de los Datos del WIGOS. Esto sirve de referencia para evaluar a nivel nacional las redes de observación existentes en relación con el número de estaciones previsto.</w:t>
      </w:r>
      <w:bookmarkStart w:id="30" w:name="_Hlk123735437"/>
      <w:bookmarkEnd w:id="30"/>
    </w:p>
    <w:p w14:paraId="6B784A94" w14:textId="50199189" w:rsidR="00E142D9" w:rsidRPr="002E7790" w:rsidRDefault="00E142D9" w:rsidP="002D6853">
      <w:pPr>
        <w:spacing w:after="240" w:line="240" w:lineRule="exact"/>
        <w:jc w:val="both"/>
        <w:textAlignment w:val="baseline"/>
        <w:rPr>
          <w:rFonts w:eastAsia="Times New Roman" w:cs="Segoe UI"/>
          <w:lang w:val="es-ES"/>
        </w:rPr>
      </w:pPr>
      <w:r>
        <w:rPr>
          <w:lang w:val="es-ES"/>
        </w:rPr>
        <w:t xml:space="preserve">En las </w:t>
      </w:r>
      <w:hyperlink r:id="rId32" w:history="1">
        <w:r w:rsidRPr="008C022A">
          <w:rPr>
            <w:rStyle w:val="Hyperlink"/>
            <w:lang w:val="es-ES"/>
          </w:rPr>
          <w:t>referencias del material sobre la GBON</w:t>
        </w:r>
      </w:hyperlink>
      <w:r>
        <w:rPr>
          <w:lang w:val="es-ES"/>
        </w:rPr>
        <w:t xml:space="preserve"> figura una plantilla para elaborar el informe de análisis de carencias de la GBON a nivel nacional. </w:t>
      </w:r>
      <w:r>
        <w:rPr>
          <w:i/>
          <w:iCs/>
          <w:lang w:val="es-ES"/>
        </w:rPr>
        <w:t>(Nota editorial: se incorporará a su debido tiempo).</w:t>
      </w:r>
    </w:p>
    <w:p w14:paraId="00D2113F" w14:textId="77777777" w:rsidR="00E142D9" w:rsidRPr="002E7790" w:rsidRDefault="53D83D41" w:rsidP="00B14646">
      <w:pPr>
        <w:keepNext/>
        <w:spacing w:after="240" w:line="240" w:lineRule="exact"/>
        <w:rPr>
          <w:rFonts w:eastAsia="Calibri"/>
          <w:lang w:val="es-ES"/>
        </w:rPr>
      </w:pPr>
      <w:r>
        <w:rPr>
          <w:b/>
          <w:bCs/>
          <w:lang w:val="es-ES"/>
        </w:rPr>
        <w:lastRenderedPageBreak/>
        <w:t>Etapa 1 - Análisis de los requisitos de resolución horizontal de la GBON</w:t>
      </w:r>
    </w:p>
    <w:p w14:paraId="15EC4C92" w14:textId="77777777" w:rsidR="00E142D9" w:rsidRPr="002E7790" w:rsidRDefault="45246EB3" w:rsidP="00B14646">
      <w:pPr>
        <w:keepNext/>
        <w:spacing w:after="240" w:line="240" w:lineRule="exact"/>
        <w:rPr>
          <w:rFonts w:eastAsia="Calibri"/>
          <w:lang w:val="es-ES"/>
        </w:rPr>
      </w:pPr>
      <w:r>
        <w:rPr>
          <w:lang w:val="es-ES"/>
        </w:rPr>
        <w:t>En esta etapa, se analizan los requisitos de resolución horizontal de la GBON específicos de cada país sobre la base del análisis global de carencias de la GBON realizado por la Secretaría de la OMM y la revisión final efectuada por el Miembro. Aunque el análisis global de carencias es un análisis simplificado, cada Miembro debe revisar el número de estaciones de la GBON previstas y realizar los ajustes necesarios. El análisis de global de carencias no incluye una investigación exhaustiva de la zona económica exclusiva (ZEE), por lo que no se establece un número previsto de estaciones de observación marina. En el caso de los Miembros que cuentan con ZEE, el número de estaciones previsto inicialmente debe evaluarse tomando como referencia la red de observaciones marinas en superficie. Aquellos Miembros que tengan territorios en ubicaciones distintas deberán evaluar los requisitos de la GBON para dichos territorios de forma individual.</w:t>
      </w:r>
    </w:p>
    <w:p w14:paraId="254236BD" w14:textId="77777777" w:rsidR="00E142D9" w:rsidRPr="002D0A4D" w:rsidRDefault="00E142D9" w:rsidP="002D6853">
      <w:pPr>
        <w:spacing w:after="240" w:line="240" w:lineRule="exact"/>
        <w:jc w:val="both"/>
        <w:rPr>
          <w:rFonts w:eastAsia="Calibri"/>
          <w:color w:val="000000"/>
          <w:shd w:val="clear" w:color="auto" w:fill="FFFFFF"/>
          <w:lang w:val="es-ES"/>
        </w:rPr>
      </w:pPr>
      <w:r w:rsidRPr="002D0A4D">
        <w:rPr>
          <w:lang w:val="es-ES"/>
        </w:rPr>
        <w:t>Elementos de la etapa 1 (Cuadro 5.2):</w:t>
      </w:r>
    </w:p>
    <w:p w14:paraId="783AAA64" w14:textId="2BD93D40" w:rsidR="00E142D9" w:rsidRPr="002D0A4D" w:rsidRDefault="00E142D9" w:rsidP="002D6853">
      <w:pPr>
        <w:pStyle w:val="ListParagraph"/>
        <w:numPr>
          <w:ilvl w:val="0"/>
          <w:numId w:val="31"/>
        </w:numPr>
        <w:spacing w:after="240" w:line="240" w:lineRule="exact"/>
        <w:ind w:left="567" w:hanging="567"/>
        <w:jc w:val="both"/>
        <w:rPr>
          <w:rFonts w:ascii="Verdana" w:eastAsia="Calibri" w:hAnsi="Verdana"/>
          <w:color w:val="000000"/>
          <w:sz w:val="20"/>
          <w:szCs w:val="20"/>
          <w:shd w:val="clear" w:color="auto" w:fill="FFFFFF"/>
          <w:lang w:val="es-ES"/>
        </w:rPr>
      </w:pPr>
      <w:r w:rsidRPr="002D0A4D">
        <w:rPr>
          <w:rFonts w:ascii="Verdana" w:hAnsi="Verdana"/>
          <w:sz w:val="20"/>
          <w:szCs w:val="20"/>
          <w:lang w:val="es-ES"/>
        </w:rPr>
        <w:t xml:space="preserve">Requisitos de resolución horizontal de la GBON: la reglamentación relativa a la GBON publicada en el </w:t>
      </w:r>
      <w:hyperlink r:id="rId33" w:history="1">
        <w:r w:rsidRPr="00816DEE">
          <w:rPr>
            <w:rStyle w:val="Hyperlink"/>
            <w:rFonts w:ascii="Verdana" w:hAnsi="Verdana"/>
            <w:i/>
            <w:iCs/>
            <w:sz w:val="20"/>
            <w:szCs w:val="20"/>
            <w:lang w:val="es-ES"/>
          </w:rPr>
          <w:t>Manual del Sistema Mundial Integrado de Sistemas de Observación de la OMM</w:t>
        </w:r>
      </w:hyperlink>
      <w:r w:rsidRPr="002D0A4D">
        <w:rPr>
          <w:rFonts w:ascii="Verdana" w:hAnsi="Verdana"/>
          <w:sz w:val="20"/>
          <w:szCs w:val="20"/>
          <w:lang w:val="es-ES"/>
        </w:rPr>
        <w:t xml:space="preserve"> (OMM Nº 1160);</w:t>
      </w:r>
    </w:p>
    <w:p w14:paraId="7DA7A996" w14:textId="77777777" w:rsidR="00E142D9" w:rsidRPr="002D0A4D" w:rsidRDefault="00E142D9" w:rsidP="002D6853">
      <w:pPr>
        <w:pStyle w:val="ListParagraph"/>
        <w:numPr>
          <w:ilvl w:val="0"/>
          <w:numId w:val="31"/>
        </w:numPr>
        <w:spacing w:after="240" w:line="240" w:lineRule="exact"/>
        <w:ind w:left="567" w:hanging="567"/>
        <w:jc w:val="both"/>
        <w:rPr>
          <w:rFonts w:ascii="Verdana" w:eastAsia="Calibri" w:hAnsi="Verdana"/>
          <w:color w:val="000000"/>
          <w:sz w:val="20"/>
          <w:szCs w:val="20"/>
          <w:shd w:val="clear" w:color="auto" w:fill="FFFFFF"/>
          <w:lang w:val="es-ES"/>
        </w:rPr>
      </w:pPr>
      <w:r w:rsidRPr="002D0A4D">
        <w:rPr>
          <w:rFonts w:ascii="Verdana" w:hAnsi="Verdana"/>
          <w:sz w:val="20"/>
          <w:szCs w:val="20"/>
          <w:lang w:val="es-ES"/>
        </w:rPr>
        <w:t>Meta de la GBON: número de estaciones en superficie y en altitud necesarias de acuerdo con el análisis global de carencias de la GBON realizado por la Secretaría de la OMM y revisado por el Miembro en caso necesario;</w:t>
      </w:r>
    </w:p>
    <w:p w14:paraId="2421CD44" w14:textId="5359DD2A" w:rsidR="00E142D9" w:rsidRPr="002D0A4D" w:rsidRDefault="00E142D9" w:rsidP="002D6853">
      <w:pPr>
        <w:pStyle w:val="ListParagraph"/>
        <w:numPr>
          <w:ilvl w:val="0"/>
          <w:numId w:val="31"/>
        </w:numPr>
        <w:spacing w:after="240" w:line="240" w:lineRule="exact"/>
        <w:ind w:left="567" w:hanging="567"/>
        <w:jc w:val="both"/>
        <w:rPr>
          <w:rFonts w:ascii="Verdana" w:eastAsia="Calibri" w:hAnsi="Verdana"/>
          <w:color w:val="000000"/>
          <w:sz w:val="20"/>
          <w:szCs w:val="20"/>
          <w:shd w:val="clear" w:color="auto" w:fill="FFFFFF"/>
          <w:lang w:val="es-ES"/>
        </w:rPr>
      </w:pPr>
      <w:r w:rsidRPr="002D0A4D">
        <w:rPr>
          <w:rFonts w:ascii="Verdana" w:hAnsi="Verdana"/>
          <w:sz w:val="20"/>
          <w:szCs w:val="20"/>
          <w:lang w:val="es-ES"/>
        </w:rPr>
        <w:t xml:space="preserve">Presentación de informes: número de estaciones en superficie, en altitud y marinas que envían informes a </w:t>
      </w:r>
      <w:r w:rsidR="00410B1E">
        <w:rPr>
          <w:rFonts w:ascii="Verdana" w:hAnsi="Verdana"/>
          <w:sz w:val="20"/>
          <w:szCs w:val="20"/>
          <w:lang w:val="es-ES"/>
        </w:rPr>
        <w:t>escala</w:t>
      </w:r>
      <w:r w:rsidRPr="002D0A4D">
        <w:rPr>
          <w:rFonts w:ascii="Verdana" w:hAnsi="Verdana"/>
          <w:sz w:val="20"/>
          <w:szCs w:val="20"/>
          <w:lang w:val="es-ES"/>
        </w:rPr>
        <w:t xml:space="preserve"> internacional al SIO;</w:t>
      </w:r>
      <w:bookmarkStart w:id="31" w:name="_Hlk123735609"/>
      <w:bookmarkEnd w:id="31"/>
    </w:p>
    <w:p w14:paraId="3FCC613A" w14:textId="77777777" w:rsidR="00E142D9" w:rsidRPr="002D0A4D" w:rsidRDefault="00E142D9" w:rsidP="002D6853">
      <w:pPr>
        <w:pStyle w:val="ListParagraph"/>
        <w:numPr>
          <w:ilvl w:val="0"/>
          <w:numId w:val="31"/>
        </w:numPr>
        <w:spacing w:after="240" w:line="240" w:lineRule="exact"/>
        <w:ind w:left="567" w:hanging="567"/>
        <w:jc w:val="both"/>
        <w:rPr>
          <w:rFonts w:ascii="Verdana" w:eastAsia="Calibri" w:hAnsi="Verdana"/>
          <w:color w:val="000000"/>
          <w:sz w:val="20"/>
          <w:szCs w:val="20"/>
          <w:shd w:val="clear" w:color="auto" w:fill="FFFFFF"/>
          <w:lang w:val="es-ES"/>
        </w:rPr>
      </w:pPr>
      <w:r w:rsidRPr="002D0A4D">
        <w:rPr>
          <w:rFonts w:ascii="Verdana" w:hAnsi="Verdana"/>
          <w:sz w:val="20"/>
          <w:szCs w:val="20"/>
          <w:lang w:val="es-ES"/>
        </w:rPr>
        <w:t xml:space="preserve">Mejora de carencias: número de estaciones en superficie, en altitud y marinas que podrían, </w:t>
      </w:r>
      <w:r w:rsidRPr="002D0A4D">
        <w:rPr>
          <w:rFonts w:ascii="Verdana" w:hAnsi="Verdana"/>
          <w:i/>
          <w:iCs/>
          <w:sz w:val="20"/>
          <w:szCs w:val="20"/>
          <w:lang w:val="es-ES"/>
        </w:rPr>
        <w:t>a priori</w:t>
      </w:r>
      <w:r w:rsidRPr="002D0A4D">
        <w:rPr>
          <w:rFonts w:ascii="Verdana" w:hAnsi="Verdana"/>
          <w:sz w:val="20"/>
          <w:szCs w:val="20"/>
          <w:lang w:val="es-ES"/>
        </w:rPr>
        <w:t>, mejorarse de modo que cumplan los requisitos de la GBON, por ejemplo, al aumentar el número de observaciones compartidas (por defecto según el análisis global de carencias);</w:t>
      </w:r>
    </w:p>
    <w:p w14:paraId="1EBAB867" w14:textId="77777777" w:rsidR="00E142D9" w:rsidRPr="002D0A4D" w:rsidRDefault="00E142D9" w:rsidP="002D6853">
      <w:pPr>
        <w:pStyle w:val="ListParagraph"/>
        <w:numPr>
          <w:ilvl w:val="0"/>
          <w:numId w:val="31"/>
        </w:numPr>
        <w:spacing w:after="240" w:line="240" w:lineRule="exact"/>
        <w:ind w:left="567" w:hanging="567"/>
        <w:jc w:val="both"/>
        <w:rPr>
          <w:rFonts w:ascii="Verdana" w:eastAsia="Calibri" w:hAnsi="Verdana"/>
          <w:color w:val="000000"/>
          <w:sz w:val="20"/>
          <w:szCs w:val="20"/>
          <w:shd w:val="clear" w:color="auto" w:fill="FFFFFF"/>
          <w:lang w:val="es-ES"/>
        </w:rPr>
      </w:pPr>
      <w:r w:rsidRPr="002D0A4D">
        <w:rPr>
          <w:rFonts w:ascii="Verdana" w:hAnsi="Verdana"/>
          <w:sz w:val="20"/>
          <w:szCs w:val="20"/>
          <w:lang w:val="es-ES"/>
        </w:rPr>
        <w:t>Nueva carencia: número de estaciones nuevas en superficie, en altitud y marinas que deben establecerse e instalarse (por defecto según el análisis global de carencias);</w:t>
      </w:r>
    </w:p>
    <w:p w14:paraId="7C410215" w14:textId="77777777" w:rsidR="00E142D9" w:rsidRPr="002D0A4D" w:rsidRDefault="00E142D9" w:rsidP="002D6853">
      <w:pPr>
        <w:pStyle w:val="ListParagraph"/>
        <w:numPr>
          <w:ilvl w:val="0"/>
          <w:numId w:val="31"/>
        </w:numPr>
        <w:spacing w:after="240" w:line="240" w:lineRule="exact"/>
        <w:ind w:left="567" w:hanging="567"/>
        <w:jc w:val="both"/>
        <w:rPr>
          <w:rFonts w:ascii="Verdana" w:eastAsia="Calibri" w:hAnsi="Verdana"/>
          <w:color w:val="000000"/>
          <w:sz w:val="20"/>
          <w:szCs w:val="20"/>
          <w:shd w:val="clear" w:color="auto" w:fill="FFFFFF"/>
          <w:lang w:val="es-ES"/>
        </w:rPr>
      </w:pPr>
      <w:r w:rsidRPr="002D0A4D">
        <w:rPr>
          <w:rFonts w:ascii="Verdana" w:hAnsi="Verdana"/>
          <w:sz w:val="20"/>
          <w:szCs w:val="20"/>
          <w:lang w:val="es-ES"/>
        </w:rPr>
        <w:t>Carencias totales: total de estaciones que deben mejorarse o instalarse nuevamente (por defecto según el análisis global de carencias).</w:t>
      </w:r>
    </w:p>
    <w:p w14:paraId="64F9E872" w14:textId="77777777" w:rsidR="00651E78" w:rsidRPr="002E7790" w:rsidRDefault="00651E78" w:rsidP="0059699A">
      <w:pPr>
        <w:keepNext/>
        <w:keepLines/>
        <w:spacing w:after="240" w:line="240" w:lineRule="exact"/>
        <w:jc w:val="center"/>
        <w:rPr>
          <w:b/>
          <w:bCs/>
          <w:lang w:val="es-ES"/>
        </w:rPr>
      </w:pPr>
      <w:r>
        <w:rPr>
          <w:b/>
          <w:bCs/>
          <w:lang w:val="es-ES"/>
        </w:rPr>
        <w:lastRenderedPageBreak/>
        <w:t>Cuadro 5.2.</w:t>
      </w:r>
      <w:r>
        <w:rPr>
          <w:lang w:val="es-ES"/>
        </w:rPr>
        <w:t xml:space="preserve"> </w:t>
      </w:r>
      <w:r>
        <w:rPr>
          <w:b/>
          <w:bCs/>
          <w:lang w:val="es-ES"/>
        </w:rPr>
        <w:t>Requisitos de la red GBON según la resolución horizontal</w:t>
      </w:r>
    </w:p>
    <w:tbl>
      <w:tblPr>
        <w:tblStyle w:val="TableGrid1"/>
        <w:tblW w:w="5000"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1855"/>
        <w:gridCol w:w="1614"/>
        <w:gridCol w:w="1908"/>
        <w:gridCol w:w="1418"/>
        <w:gridCol w:w="1354"/>
        <w:gridCol w:w="1470"/>
      </w:tblGrid>
      <w:tr w:rsidR="00E142D9" w:rsidRPr="00C51985" w14:paraId="74395336" w14:textId="77777777" w:rsidTr="00AE4BEE">
        <w:trPr>
          <w:trHeight w:val="916"/>
          <w:jc w:val="center"/>
        </w:trPr>
        <w:tc>
          <w:tcPr>
            <w:tcW w:w="964" w:type="pct"/>
            <w:shd w:val="clear" w:color="auto" w:fill="auto"/>
            <w:vAlign w:val="center"/>
          </w:tcPr>
          <w:p w14:paraId="62575154" w14:textId="77777777" w:rsidR="00E142D9" w:rsidRPr="00C51985" w:rsidRDefault="00D15987" w:rsidP="0033072D">
            <w:pPr>
              <w:keepNext/>
              <w:keepLines/>
              <w:spacing w:before="60" w:after="60"/>
              <w:rPr>
                <w:sz w:val="20"/>
                <w:szCs w:val="20"/>
                <w:lang w:val="es-ES"/>
              </w:rPr>
            </w:pPr>
            <w:r w:rsidRPr="00C51985">
              <w:rPr>
                <w:sz w:val="20"/>
                <w:szCs w:val="20"/>
                <w:lang w:val="es-ES"/>
              </w:rPr>
              <w:t>Requisitos de resolución horizontal de la GBON</w:t>
            </w:r>
          </w:p>
        </w:tc>
        <w:tc>
          <w:tcPr>
            <w:tcW w:w="839" w:type="pct"/>
            <w:shd w:val="clear" w:color="auto" w:fill="auto"/>
            <w:vAlign w:val="center"/>
          </w:tcPr>
          <w:p w14:paraId="4AD7DD48" w14:textId="77777777" w:rsidR="00E142D9" w:rsidRPr="00C51985" w:rsidRDefault="00E142D9" w:rsidP="0033072D">
            <w:pPr>
              <w:keepNext/>
              <w:keepLines/>
              <w:spacing w:before="60" w:after="60"/>
              <w:jc w:val="center"/>
              <w:rPr>
                <w:rFonts w:eastAsia="Verdana" w:cs="Segoe UI"/>
                <w:b/>
                <w:smallCaps/>
                <w:sz w:val="20"/>
                <w:szCs w:val="20"/>
              </w:rPr>
            </w:pPr>
            <w:r w:rsidRPr="00C51985">
              <w:rPr>
                <w:sz w:val="20"/>
                <w:szCs w:val="20"/>
                <w:lang w:val="es-ES"/>
              </w:rPr>
              <w:t>META DE LA GBON</w:t>
            </w:r>
          </w:p>
        </w:tc>
        <w:tc>
          <w:tcPr>
            <w:tcW w:w="992" w:type="pct"/>
            <w:shd w:val="clear" w:color="auto" w:fill="auto"/>
            <w:vAlign w:val="center"/>
          </w:tcPr>
          <w:p w14:paraId="5650DDDC" w14:textId="77777777" w:rsidR="00E142D9" w:rsidRPr="00C51985" w:rsidRDefault="00E142D9" w:rsidP="0033072D">
            <w:pPr>
              <w:keepNext/>
              <w:keepLines/>
              <w:spacing w:before="60" w:after="60"/>
              <w:jc w:val="center"/>
              <w:rPr>
                <w:rFonts w:eastAsia="Calibri"/>
                <w:smallCaps/>
                <w:sz w:val="20"/>
                <w:szCs w:val="20"/>
              </w:rPr>
            </w:pPr>
            <w:r w:rsidRPr="00C51985">
              <w:rPr>
                <w:sz w:val="20"/>
                <w:szCs w:val="20"/>
                <w:lang w:val="es-ES"/>
              </w:rPr>
              <w:t>PRESENTACIÓN DE INFORMES</w:t>
            </w:r>
          </w:p>
        </w:tc>
        <w:tc>
          <w:tcPr>
            <w:tcW w:w="737" w:type="pct"/>
            <w:shd w:val="clear" w:color="auto" w:fill="auto"/>
            <w:vAlign w:val="center"/>
          </w:tcPr>
          <w:p w14:paraId="775C1E6E" w14:textId="77777777" w:rsidR="00E142D9" w:rsidRPr="00C51985" w:rsidRDefault="00E142D9" w:rsidP="0033072D">
            <w:pPr>
              <w:keepNext/>
              <w:keepLines/>
              <w:spacing w:before="60" w:after="60"/>
              <w:jc w:val="center"/>
              <w:rPr>
                <w:rFonts w:eastAsia="Calibri"/>
                <w:smallCaps/>
                <w:sz w:val="20"/>
                <w:szCs w:val="20"/>
              </w:rPr>
            </w:pPr>
            <w:r w:rsidRPr="00C51985">
              <w:rPr>
                <w:sz w:val="20"/>
                <w:szCs w:val="20"/>
                <w:lang w:val="es-ES"/>
              </w:rPr>
              <w:t>MEJORA DE CARENCIAS</w:t>
            </w:r>
          </w:p>
        </w:tc>
        <w:tc>
          <w:tcPr>
            <w:tcW w:w="704" w:type="pct"/>
            <w:shd w:val="clear" w:color="auto" w:fill="auto"/>
            <w:vAlign w:val="center"/>
          </w:tcPr>
          <w:p w14:paraId="2408562D" w14:textId="77777777" w:rsidR="00E142D9" w:rsidRPr="00C51985" w:rsidDel="00737FC5" w:rsidRDefault="00E142D9" w:rsidP="0033072D">
            <w:pPr>
              <w:keepNext/>
              <w:keepLines/>
              <w:spacing w:before="60" w:after="60"/>
              <w:jc w:val="center"/>
              <w:rPr>
                <w:rFonts w:eastAsia="Calibri"/>
                <w:smallCaps/>
                <w:sz w:val="20"/>
                <w:szCs w:val="20"/>
              </w:rPr>
            </w:pPr>
            <w:r w:rsidRPr="00C51985">
              <w:rPr>
                <w:sz w:val="20"/>
                <w:szCs w:val="20"/>
                <w:lang w:val="es-ES"/>
              </w:rPr>
              <w:t>NUEVA CARENCIA</w:t>
            </w:r>
          </w:p>
        </w:tc>
        <w:tc>
          <w:tcPr>
            <w:tcW w:w="764" w:type="pct"/>
            <w:shd w:val="clear" w:color="auto" w:fill="auto"/>
            <w:vAlign w:val="center"/>
          </w:tcPr>
          <w:p w14:paraId="6EDECBB2" w14:textId="77777777" w:rsidR="00E142D9" w:rsidRPr="00C51985" w:rsidDel="00737FC5" w:rsidRDefault="00E142D9" w:rsidP="0033072D">
            <w:pPr>
              <w:keepNext/>
              <w:keepLines/>
              <w:spacing w:before="60" w:after="60"/>
              <w:jc w:val="center"/>
              <w:rPr>
                <w:rFonts w:eastAsia="Calibri"/>
                <w:smallCaps/>
                <w:sz w:val="20"/>
                <w:szCs w:val="20"/>
              </w:rPr>
            </w:pPr>
            <w:r w:rsidRPr="00C51985">
              <w:rPr>
                <w:sz w:val="20"/>
                <w:szCs w:val="20"/>
                <w:lang w:val="es-ES"/>
              </w:rPr>
              <w:t>CARENCIAS TOTALES</w:t>
            </w:r>
          </w:p>
        </w:tc>
      </w:tr>
      <w:tr w:rsidR="00E142D9" w:rsidRPr="00AE4BEE" w14:paraId="5F5A1021" w14:textId="77777777" w:rsidTr="00AE4BEE">
        <w:trPr>
          <w:trHeight w:val="328"/>
          <w:jc w:val="center"/>
        </w:trPr>
        <w:tc>
          <w:tcPr>
            <w:tcW w:w="964" w:type="pct"/>
            <w:shd w:val="clear" w:color="auto" w:fill="auto"/>
            <w:vAlign w:val="center"/>
          </w:tcPr>
          <w:p w14:paraId="563A4004" w14:textId="384A6168" w:rsidR="00E142D9" w:rsidRPr="00C51985" w:rsidRDefault="00B17F3A" w:rsidP="0033072D">
            <w:pPr>
              <w:keepNext/>
              <w:keepLines/>
              <w:spacing w:before="60" w:after="60"/>
              <w:rPr>
                <w:rFonts w:eastAsia="Calibri"/>
                <w:smallCaps/>
                <w:sz w:val="20"/>
                <w:szCs w:val="20"/>
                <w:lang w:val="es-ES"/>
              </w:rPr>
            </w:pPr>
            <w:r w:rsidRPr="00C51985">
              <w:rPr>
                <w:sz w:val="20"/>
                <w:szCs w:val="20"/>
                <w:lang w:val="es-ES"/>
              </w:rPr>
              <w:t>Estaciones de observación en superficie, densidad normal, 200 km</w:t>
            </w:r>
          </w:p>
        </w:tc>
        <w:tc>
          <w:tcPr>
            <w:tcW w:w="839" w:type="pct"/>
            <w:shd w:val="clear" w:color="auto" w:fill="auto"/>
            <w:vAlign w:val="center"/>
          </w:tcPr>
          <w:p w14:paraId="13B6CDF8" w14:textId="77777777" w:rsidR="00E142D9" w:rsidRPr="00C51985" w:rsidRDefault="00E142D9" w:rsidP="0033072D">
            <w:pPr>
              <w:keepNext/>
              <w:keepLines/>
              <w:spacing w:before="60" w:after="60"/>
              <w:rPr>
                <w:rFonts w:eastAsia="Verdana" w:cs="Segoe UI"/>
                <w:sz w:val="20"/>
                <w:szCs w:val="20"/>
                <w:lang w:val="es-ES"/>
              </w:rPr>
            </w:pPr>
          </w:p>
        </w:tc>
        <w:tc>
          <w:tcPr>
            <w:tcW w:w="992" w:type="pct"/>
            <w:shd w:val="clear" w:color="auto" w:fill="auto"/>
            <w:vAlign w:val="center"/>
          </w:tcPr>
          <w:p w14:paraId="670867E0" w14:textId="77777777" w:rsidR="00E142D9" w:rsidRPr="00C51985" w:rsidRDefault="00E142D9" w:rsidP="0033072D">
            <w:pPr>
              <w:keepNext/>
              <w:keepLines/>
              <w:spacing w:before="60" w:after="60"/>
              <w:rPr>
                <w:rFonts w:eastAsia="Verdana" w:cs="Segoe UI"/>
                <w:sz w:val="20"/>
                <w:szCs w:val="20"/>
                <w:lang w:val="es-ES"/>
              </w:rPr>
            </w:pPr>
          </w:p>
        </w:tc>
        <w:tc>
          <w:tcPr>
            <w:tcW w:w="737" w:type="pct"/>
            <w:shd w:val="clear" w:color="auto" w:fill="auto"/>
            <w:vAlign w:val="center"/>
          </w:tcPr>
          <w:p w14:paraId="4885F2D6" w14:textId="77777777" w:rsidR="00E142D9" w:rsidRPr="00C51985" w:rsidRDefault="00E142D9" w:rsidP="0033072D">
            <w:pPr>
              <w:keepNext/>
              <w:keepLines/>
              <w:spacing w:before="60" w:after="60"/>
              <w:rPr>
                <w:rFonts w:eastAsia="Verdana" w:cs="Segoe UI"/>
                <w:sz w:val="20"/>
                <w:szCs w:val="20"/>
                <w:lang w:val="es-ES"/>
              </w:rPr>
            </w:pPr>
          </w:p>
        </w:tc>
        <w:tc>
          <w:tcPr>
            <w:tcW w:w="704" w:type="pct"/>
            <w:shd w:val="clear" w:color="auto" w:fill="auto"/>
            <w:vAlign w:val="center"/>
          </w:tcPr>
          <w:p w14:paraId="55C1DC40" w14:textId="77777777" w:rsidR="00E142D9" w:rsidRPr="00C51985" w:rsidRDefault="00E142D9" w:rsidP="0033072D">
            <w:pPr>
              <w:keepNext/>
              <w:keepLines/>
              <w:spacing w:before="60" w:after="60"/>
              <w:rPr>
                <w:rFonts w:eastAsia="Verdana" w:cs="Segoe UI"/>
                <w:sz w:val="20"/>
                <w:szCs w:val="20"/>
                <w:lang w:val="es-ES"/>
              </w:rPr>
            </w:pPr>
          </w:p>
        </w:tc>
        <w:tc>
          <w:tcPr>
            <w:tcW w:w="764" w:type="pct"/>
            <w:shd w:val="clear" w:color="auto" w:fill="auto"/>
            <w:vAlign w:val="center"/>
          </w:tcPr>
          <w:p w14:paraId="092B5B4B" w14:textId="77777777" w:rsidR="00E142D9" w:rsidRPr="00C51985" w:rsidRDefault="00E142D9" w:rsidP="0033072D">
            <w:pPr>
              <w:keepNext/>
              <w:keepLines/>
              <w:spacing w:before="60" w:after="60"/>
              <w:rPr>
                <w:rFonts w:eastAsia="Verdana" w:cs="Segoe UI"/>
                <w:sz w:val="20"/>
                <w:szCs w:val="20"/>
                <w:lang w:val="es-ES"/>
              </w:rPr>
            </w:pPr>
          </w:p>
        </w:tc>
      </w:tr>
      <w:tr w:rsidR="00E142D9" w:rsidRPr="00AE4BEE" w14:paraId="26252CBE" w14:textId="77777777" w:rsidTr="00AE4BEE">
        <w:trPr>
          <w:trHeight w:val="328"/>
          <w:jc w:val="center"/>
        </w:trPr>
        <w:tc>
          <w:tcPr>
            <w:tcW w:w="964" w:type="pct"/>
            <w:shd w:val="clear" w:color="auto" w:fill="auto"/>
            <w:vAlign w:val="center"/>
          </w:tcPr>
          <w:p w14:paraId="1D29B18F" w14:textId="1D425A8C" w:rsidR="00E142D9" w:rsidRPr="00C51985" w:rsidRDefault="00B17F3A" w:rsidP="0033072D">
            <w:pPr>
              <w:keepNext/>
              <w:keepLines/>
              <w:spacing w:before="60" w:after="60"/>
              <w:rPr>
                <w:rFonts w:eastAsia="Calibri"/>
                <w:smallCaps/>
                <w:sz w:val="20"/>
                <w:szCs w:val="20"/>
                <w:lang w:val="es-ES"/>
              </w:rPr>
            </w:pPr>
            <w:r w:rsidRPr="00C51985">
              <w:rPr>
                <w:sz w:val="20"/>
                <w:szCs w:val="20"/>
                <w:lang w:val="es-ES"/>
              </w:rPr>
              <w:t>Estaciones de observación en superficie, densidad alta, 100 km</w:t>
            </w:r>
          </w:p>
        </w:tc>
        <w:tc>
          <w:tcPr>
            <w:tcW w:w="839" w:type="pct"/>
            <w:shd w:val="clear" w:color="auto" w:fill="auto"/>
            <w:vAlign w:val="center"/>
          </w:tcPr>
          <w:p w14:paraId="638D802E" w14:textId="77777777" w:rsidR="00E142D9" w:rsidRPr="00C51985" w:rsidRDefault="00E142D9" w:rsidP="0033072D">
            <w:pPr>
              <w:keepNext/>
              <w:keepLines/>
              <w:spacing w:before="60" w:after="60"/>
              <w:rPr>
                <w:rFonts w:eastAsia="Verdana" w:cs="Segoe UI"/>
                <w:sz w:val="20"/>
                <w:szCs w:val="20"/>
                <w:lang w:val="es-ES"/>
              </w:rPr>
            </w:pPr>
          </w:p>
        </w:tc>
        <w:tc>
          <w:tcPr>
            <w:tcW w:w="992" w:type="pct"/>
            <w:shd w:val="clear" w:color="auto" w:fill="auto"/>
            <w:vAlign w:val="center"/>
          </w:tcPr>
          <w:p w14:paraId="467B5E9F" w14:textId="77777777" w:rsidR="00E142D9" w:rsidRPr="00C51985" w:rsidRDefault="00E142D9" w:rsidP="0033072D">
            <w:pPr>
              <w:keepNext/>
              <w:keepLines/>
              <w:spacing w:before="60" w:after="60"/>
              <w:rPr>
                <w:rFonts w:eastAsia="Verdana" w:cs="Segoe UI"/>
                <w:sz w:val="20"/>
                <w:szCs w:val="20"/>
                <w:lang w:val="es-ES"/>
              </w:rPr>
            </w:pPr>
          </w:p>
        </w:tc>
        <w:tc>
          <w:tcPr>
            <w:tcW w:w="737" w:type="pct"/>
            <w:shd w:val="clear" w:color="auto" w:fill="auto"/>
            <w:vAlign w:val="center"/>
          </w:tcPr>
          <w:p w14:paraId="05E9C18C" w14:textId="77777777" w:rsidR="00E142D9" w:rsidRPr="00C51985" w:rsidRDefault="00E142D9" w:rsidP="0033072D">
            <w:pPr>
              <w:keepNext/>
              <w:keepLines/>
              <w:spacing w:before="60" w:after="60"/>
              <w:rPr>
                <w:rFonts w:eastAsia="Verdana" w:cs="Segoe UI"/>
                <w:sz w:val="20"/>
                <w:szCs w:val="20"/>
                <w:lang w:val="es-ES"/>
              </w:rPr>
            </w:pPr>
          </w:p>
        </w:tc>
        <w:tc>
          <w:tcPr>
            <w:tcW w:w="704" w:type="pct"/>
            <w:shd w:val="clear" w:color="auto" w:fill="auto"/>
            <w:vAlign w:val="center"/>
          </w:tcPr>
          <w:p w14:paraId="73B2CBC8" w14:textId="77777777" w:rsidR="00E142D9" w:rsidRPr="00C51985" w:rsidRDefault="00E142D9" w:rsidP="0033072D">
            <w:pPr>
              <w:keepNext/>
              <w:keepLines/>
              <w:spacing w:before="60" w:after="60"/>
              <w:rPr>
                <w:rFonts w:eastAsia="Verdana" w:cs="Segoe UI"/>
                <w:sz w:val="20"/>
                <w:szCs w:val="20"/>
                <w:lang w:val="es-ES"/>
              </w:rPr>
            </w:pPr>
          </w:p>
        </w:tc>
        <w:tc>
          <w:tcPr>
            <w:tcW w:w="764" w:type="pct"/>
            <w:shd w:val="clear" w:color="auto" w:fill="auto"/>
            <w:vAlign w:val="center"/>
          </w:tcPr>
          <w:p w14:paraId="2D40B324" w14:textId="77777777" w:rsidR="00E142D9" w:rsidRPr="00C51985" w:rsidRDefault="00E142D9" w:rsidP="0033072D">
            <w:pPr>
              <w:keepNext/>
              <w:keepLines/>
              <w:spacing w:before="60" w:after="60"/>
              <w:rPr>
                <w:rFonts w:eastAsia="Verdana" w:cs="Segoe UI"/>
                <w:sz w:val="20"/>
                <w:szCs w:val="20"/>
                <w:lang w:val="es-ES"/>
              </w:rPr>
            </w:pPr>
          </w:p>
        </w:tc>
      </w:tr>
      <w:tr w:rsidR="00E142D9" w:rsidRPr="00AE4BEE" w14:paraId="16204FE4" w14:textId="77777777" w:rsidTr="00AE4BEE">
        <w:trPr>
          <w:trHeight w:val="994"/>
          <w:jc w:val="center"/>
        </w:trPr>
        <w:tc>
          <w:tcPr>
            <w:tcW w:w="964" w:type="pct"/>
            <w:shd w:val="clear" w:color="auto" w:fill="auto"/>
            <w:vAlign w:val="center"/>
          </w:tcPr>
          <w:p w14:paraId="7B32457E" w14:textId="0E971A94" w:rsidR="00E142D9" w:rsidRPr="00C51985" w:rsidRDefault="00B17F3A" w:rsidP="0033072D">
            <w:pPr>
              <w:keepNext/>
              <w:keepLines/>
              <w:spacing w:before="60" w:after="60"/>
              <w:rPr>
                <w:rFonts w:eastAsia="Calibri"/>
                <w:smallCaps/>
                <w:sz w:val="20"/>
                <w:szCs w:val="20"/>
                <w:lang w:val="es-ES"/>
              </w:rPr>
            </w:pPr>
            <w:r w:rsidRPr="00C51985">
              <w:rPr>
                <w:sz w:val="20"/>
                <w:szCs w:val="20"/>
                <w:lang w:val="es-ES"/>
              </w:rPr>
              <w:t>Estaciones terrestres de observación en altitud, densidad normal, 500 km</w:t>
            </w:r>
          </w:p>
        </w:tc>
        <w:tc>
          <w:tcPr>
            <w:tcW w:w="839" w:type="pct"/>
            <w:shd w:val="clear" w:color="auto" w:fill="auto"/>
            <w:vAlign w:val="center"/>
          </w:tcPr>
          <w:p w14:paraId="52A0F61F" w14:textId="77777777" w:rsidR="00E142D9" w:rsidRPr="00C51985" w:rsidRDefault="00E142D9" w:rsidP="0033072D">
            <w:pPr>
              <w:keepNext/>
              <w:keepLines/>
              <w:spacing w:before="60" w:after="60"/>
              <w:rPr>
                <w:rFonts w:eastAsia="Verdana" w:cs="Segoe UI"/>
                <w:sz w:val="20"/>
                <w:szCs w:val="20"/>
                <w:lang w:val="es-ES"/>
              </w:rPr>
            </w:pPr>
          </w:p>
        </w:tc>
        <w:tc>
          <w:tcPr>
            <w:tcW w:w="992" w:type="pct"/>
            <w:shd w:val="clear" w:color="auto" w:fill="auto"/>
            <w:vAlign w:val="center"/>
          </w:tcPr>
          <w:p w14:paraId="040EED24" w14:textId="77777777" w:rsidR="00E142D9" w:rsidRPr="00C51985" w:rsidRDefault="00E142D9" w:rsidP="0033072D">
            <w:pPr>
              <w:keepNext/>
              <w:keepLines/>
              <w:spacing w:before="60" w:after="60"/>
              <w:rPr>
                <w:rFonts w:eastAsia="Verdana" w:cs="Segoe UI"/>
                <w:sz w:val="20"/>
                <w:szCs w:val="20"/>
                <w:lang w:val="es-ES"/>
              </w:rPr>
            </w:pPr>
          </w:p>
        </w:tc>
        <w:tc>
          <w:tcPr>
            <w:tcW w:w="737" w:type="pct"/>
            <w:shd w:val="clear" w:color="auto" w:fill="auto"/>
            <w:vAlign w:val="center"/>
          </w:tcPr>
          <w:p w14:paraId="4BAC2471" w14:textId="77777777" w:rsidR="00E142D9" w:rsidRPr="00C51985" w:rsidRDefault="00E142D9" w:rsidP="0033072D">
            <w:pPr>
              <w:keepNext/>
              <w:keepLines/>
              <w:spacing w:before="60" w:after="60"/>
              <w:rPr>
                <w:rFonts w:eastAsia="Verdana" w:cs="Segoe UI"/>
                <w:sz w:val="20"/>
                <w:szCs w:val="20"/>
                <w:lang w:val="es-ES"/>
              </w:rPr>
            </w:pPr>
          </w:p>
        </w:tc>
        <w:tc>
          <w:tcPr>
            <w:tcW w:w="704" w:type="pct"/>
            <w:shd w:val="clear" w:color="auto" w:fill="auto"/>
            <w:vAlign w:val="center"/>
          </w:tcPr>
          <w:p w14:paraId="25FEDCE4" w14:textId="77777777" w:rsidR="00E142D9" w:rsidRPr="00C51985" w:rsidRDefault="00E142D9" w:rsidP="0033072D">
            <w:pPr>
              <w:keepNext/>
              <w:keepLines/>
              <w:spacing w:before="60" w:after="60"/>
              <w:rPr>
                <w:rFonts w:eastAsia="Verdana" w:cs="Segoe UI"/>
                <w:sz w:val="20"/>
                <w:szCs w:val="20"/>
                <w:lang w:val="es-ES"/>
              </w:rPr>
            </w:pPr>
          </w:p>
        </w:tc>
        <w:tc>
          <w:tcPr>
            <w:tcW w:w="764" w:type="pct"/>
            <w:shd w:val="clear" w:color="auto" w:fill="auto"/>
            <w:vAlign w:val="center"/>
          </w:tcPr>
          <w:p w14:paraId="3D6CE880" w14:textId="77777777" w:rsidR="00E142D9" w:rsidRPr="00C51985" w:rsidRDefault="00E142D9" w:rsidP="0033072D">
            <w:pPr>
              <w:keepNext/>
              <w:keepLines/>
              <w:spacing w:before="60" w:after="60"/>
              <w:rPr>
                <w:rFonts w:eastAsia="Verdana" w:cs="Segoe UI"/>
                <w:sz w:val="20"/>
                <w:szCs w:val="20"/>
                <w:lang w:val="es-ES"/>
              </w:rPr>
            </w:pPr>
          </w:p>
        </w:tc>
      </w:tr>
      <w:tr w:rsidR="00C050CF" w:rsidRPr="00AE4BEE" w14:paraId="02246761" w14:textId="77777777" w:rsidTr="00AE4BEE">
        <w:trPr>
          <w:trHeight w:val="994"/>
          <w:jc w:val="center"/>
        </w:trPr>
        <w:tc>
          <w:tcPr>
            <w:tcW w:w="964" w:type="pct"/>
            <w:shd w:val="clear" w:color="auto" w:fill="auto"/>
            <w:vAlign w:val="center"/>
          </w:tcPr>
          <w:p w14:paraId="70A5AC0D" w14:textId="2BBCE660" w:rsidR="00C050CF" w:rsidRPr="00C51985" w:rsidRDefault="00B17F3A" w:rsidP="0033072D">
            <w:pPr>
              <w:keepNext/>
              <w:keepLines/>
              <w:spacing w:before="60" w:after="60"/>
              <w:rPr>
                <w:rFonts w:eastAsia="Calibri"/>
                <w:smallCaps/>
                <w:sz w:val="20"/>
                <w:szCs w:val="20"/>
                <w:lang w:val="es-ES"/>
              </w:rPr>
            </w:pPr>
            <w:r w:rsidRPr="00C51985">
              <w:rPr>
                <w:sz w:val="20"/>
                <w:szCs w:val="20"/>
                <w:lang w:val="es-ES"/>
              </w:rPr>
              <w:t>Estaciones terrestres de observación en altitud, densidad alta, 200 km</w:t>
            </w:r>
          </w:p>
        </w:tc>
        <w:tc>
          <w:tcPr>
            <w:tcW w:w="839" w:type="pct"/>
            <w:shd w:val="clear" w:color="auto" w:fill="auto"/>
            <w:vAlign w:val="center"/>
          </w:tcPr>
          <w:p w14:paraId="1EC660D7" w14:textId="77777777" w:rsidR="00C050CF" w:rsidRPr="00C51985" w:rsidRDefault="00C050CF" w:rsidP="0033072D">
            <w:pPr>
              <w:keepNext/>
              <w:keepLines/>
              <w:spacing w:before="60" w:after="60"/>
              <w:rPr>
                <w:rFonts w:eastAsia="Verdana" w:cs="Segoe UI"/>
                <w:sz w:val="20"/>
                <w:szCs w:val="20"/>
                <w:lang w:val="es-ES"/>
              </w:rPr>
            </w:pPr>
          </w:p>
        </w:tc>
        <w:tc>
          <w:tcPr>
            <w:tcW w:w="992" w:type="pct"/>
            <w:shd w:val="clear" w:color="auto" w:fill="auto"/>
            <w:vAlign w:val="center"/>
          </w:tcPr>
          <w:p w14:paraId="3B7DE429" w14:textId="77777777" w:rsidR="00C050CF" w:rsidRPr="00C51985" w:rsidRDefault="00C050CF" w:rsidP="0033072D">
            <w:pPr>
              <w:keepNext/>
              <w:keepLines/>
              <w:spacing w:before="60" w:after="60"/>
              <w:rPr>
                <w:rFonts w:eastAsia="Verdana" w:cs="Segoe UI"/>
                <w:sz w:val="20"/>
                <w:szCs w:val="20"/>
                <w:lang w:val="es-ES"/>
              </w:rPr>
            </w:pPr>
          </w:p>
        </w:tc>
        <w:tc>
          <w:tcPr>
            <w:tcW w:w="737" w:type="pct"/>
            <w:shd w:val="clear" w:color="auto" w:fill="auto"/>
            <w:vAlign w:val="center"/>
          </w:tcPr>
          <w:p w14:paraId="67A6BA61" w14:textId="77777777" w:rsidR="00C050CF" w:rsidRPr="00C51985" w:rsidRDefault="00C050CF" w:rsidP="0033072D">
            <w:pPr>
              <w:keepNext/>
              <w:keepLines/>
              <w:spacing w:before="60" w:after="60"/>
              <w:rPr>
                <w:rFonts w:eastAsia="Verdana" w:cs="Segoe UI"/>
                <w:sz w:val="20"/>
                <w:szCs w:val="20"/>
                <w:lang w:val="es-ES"/>
              </w:rPr>
            </w:pPr>
          </w:p>
        </w:tc>
        <w:tc>
          <w:tcPr>
            <w:tcW w:w="704" w:type="pct"/>
            <w:shd w:val="clear" w:color="auto" w:fill="auto"/>
            <w:vAlign w:val="center"/>
          </w:tcPr>
          <w:p w14:paraId="02491201" w14:textId="77777777" w:rsidR="00C050CF" w:rsidRPr="00C51985" w:rsidRDefault="00C050CF" w:rsidP="0033072D">
            <w:pPr>
              <w:keepNext/>
              <w:keepLines/>
              <w:spacing w:before="60" w:after="60"/>
              <w:rPr>
                <w:rFonts w:eastAsia="Verdana" w:cs="Segoe UI"/>
                <w:sz w:val="20"/>
                <w:szCs w:val="20"/>
                <w:lang w:val="es-ES"/>
              </w:rPr>
            </w:pPr>
          </w:p>
        </w:tc>
        <w:tc>
          <w:tcPr>
            <w:tcW w:w="764" w:type="pct"/>
            <w:shd w:val="clear" w:color="auto" w:fill="auto"/>
            <w:vAlign w:val="center"/>
          </w:tcPr>
          <w:p w14:paraId="48446004" w14:textId="77777777" w:rsidR="00C050CF" w:rsidRPr="00C51985" w:rsidRDefault="00C050CF" w:rsidP="0033072D">
            <w:pPr>
              <w:keepNext/>
              <w:keepLines/>
              <w:spacing w:before="60" w:after="60"/>
              <w:rPr>
                <w:rFonts w:eastAsia="Verdana" w:cs="Segoe UI"/>
                <w:sz w:val="20"/>
                <w:szCs w:val="20"/>
                <w:lang w:val="es-ES"/>
              </w:rPr>
            </w:pPr>
          </w:p>
        </w:tc>
      </w:tr>
      <w:tr w:rsidR="00F1294E" w:rsidRPr="00AE4BEE" w14:paraId="4EEC9C14" w14:textId="77777777" w:rsidTr="00AE4BEE">
        <w:trPr>
          <w:trHeight w:val="994"/>
          <w:jc w:val="center"/>
        </w:trPr>
        <w:tc>
          <w:tcPr>
            <w:tcW w:w="964" w:type="pct"/>
            <w:shd w:val="clear" w:color="auto" w:fill="auto"/>
            <w:vAlign w:val="center"/>
          </w:tcPr>
          <w:p w14:paraId="66F6A4C1" w14:textId="669AF662" w:rsidR="00F1294E" w:rsidRPr="00AE4BEE" w:rsidRDefault="00292F42" w:rsidP="00AE4BEE">
            <w:pPr>
              <w:keepNext/>
              <w:keepLines/>
              <w:spacing w:before="60" w:after="60"/>
              <w:rPr>
                <w:rFonts w:eastAsia="Calibri"/>
                <w:smallCaps/>
                <w:sz w:val="20"/>
                <w:szCs w:val="20"/>
                <w:lang w:val="es-ES"/>
              </w:rPr>
            </w:pPr>
            <w:r w:rsidRPr="00C51985">
              <w:rPr>
                <w:sz w:val="20"/>
                <w:szCs w:val="20"/>
                <w:lang w:val="es-ES"/>
              </w:rPr>
              <w:t>Estaciones marinas de observación en altitud</w:t>
            </w:r>
            <w:r w:rsidR="00AE4BEE">
              <w:rPr>
                <w:sz w:val="20"/>
                <w:szCs w:val="20"/>
                <w:lang w:val="es-ES"/>
              </w:rPr>
              <w:t xml:space="preserve"> </w:t>
            </w:r>
            <w:r w:rsidR="00F1294E" w:rsidRPr="00C51985">
              <w:rPr>
                <w:sz w:val="20"/>
                <w:szCs w:val="20"/>
                <w:lang w:val="es-ES"/>
              </w:rPr>
              <w:t>1</w:t>
            </w:r>
            <w:r w:rsidR="00AE4BEE">
              <w:rPr>
                <w:sz w:val="20"/>
                <w:szCs w:val="20"/>
                <w:lang w:val="es-ES"/>
              </w:rPr>
              <w:t> </w:t>
            </w:r>
            <w:r w:rsidR="00F1294E" w:rsidRPr="00C51985">
              <w:rPr>
                <w:sz w:val="20"/>
                <w:szCs w:val="20"/>
                <w:lang w:val="es-ES"/>
              </w:rPr>
              <w:t>000</w:t>
            </w:r>
            <w:r w:rsidR="00AE4BEE">
              <w:rPr>
                <w:sz w:val="20"/>
                <w:szCs w:val="20"/>
                <w:lang w:val="es-ES"/>
              </w:rPr>
              <w:t> </w:t>
            </w:r>
            <w:r w:rsidR="00F1294E" w:rsidRPr="00C51985">
              <w:rPr>
                <w:sz w:val="20"/>
                <w:szCs w:val="20"/>
                <w:lang w:val="es-ES"/>
              </w:rPr>
              <w:t>km</w:t>
            </w:r>
          </w:p>
        </w:tc>
        <w:tc>
          <w:tcPr>
            <w:tcW w:w="839" w:type="pct"/>
            <w:shd w:val="clear" w:color="auto" w:fill="auto"/>
            <w:vAlign w:val="center"/>
          </w:tcPr>
          <w:p w14:paraId="1F1B7DD8" w14:textId="77777777" w:rsidR="00B17F3A" w:rsidRPr="00AE4BEE" w:rsidRDefault="00B17F3A" w:rsidP="0033072D">
            <w:pPr>
              <w:pStyle w:val="Bodytext"/>
              <w:rPr>
                <w:sz w:val="20"/>
                <w:szCs w:val="20"/>
                <w:lang w:val="es-ES"/>
              </w:rPr>
            </w:pPr>
          </w:p>
        </w:tc>
        <w:tc>
          <w:tcPr>
            <w:tcW w:w="992" w:type="pct"/>
            <w:shd w:val="clear" w:color="auto" w:fill="auto"/>
            <w:vAlign w:val="center"/>
          </w:tcPr>
          <w:p w14:paraId="7CB7995D" w14:textId="77777777" w:rsidR="00F1294E" w:rsidRPr="00AE4BEE" w:rsidRDefault="00F1294E" w:rsidP="0033072D">
            <w:pPr>
              <w:keepNext/>
              <w:keepLines/>
              <w:spacing w:before="60" w:after="60"/>
              <w:rPr>
                <w:rFonts w:eastAsia="Verdana" w:cs="Segoe UI"/>
                <w:sz w:val="20"/>
                <w:szCs w:val="20"/>
                <w:lang w:val="es-ES"/>
              </w:rPr>
            </w:pPr>
          </w:p>
        </w:tc>
        <w:tc>
          <w:tcPr>
            <w:tcW w:w="737" w:type="pct"/>
            <w:shd w:val="clear" w:color="auto" w:fill="auto"/>
            <w:vAlign w:val="center"/>
          </w:tcPr>
          <w:p w14:paraId="2A837315" w14:textId="77777777" w:rsidR="00F1294E" w:rsidRPr="00AE4BEE" w:rsidRDefault="00F1294E" w:rsidP="0033072D">
            <w:pPr>
              <w:keepNext/>
              <w:keepLines/>
              <w:spacing w:before="60" w:after="60"/>
              <w:rPr>
                <w:rFonts w:eastAsia="Verdana" w:cs="Segoe UI"/>
                <w:sz w:val="20"/>
                <w:szCs w:val="20"/>
                <w:lang w:val="es-ES"/>
              </w:rPr>
            </w:pPr>
          </w:p>
        </w:tc>
        <w:tc>
          <w:tcPr>
            <w:tcW w:w="704" w:type="pct"/>
            <w:shd w:val="clear" w:color="auto" w:fill="auto"/>
            <w:vAlign w:val="center"/>
          </w:tcPr>
          <w:p w14:paraId="0FE2AE7E" w14:textId="77777777" w:rsidR="00F1294E" w:rsidRPr="00AE4BEE" w:rsidRDefault="00F1294E" w:rsidP="0033072D">
            <w:pPr>
              <w:keepNext/>
              <w:keepLines/>
              <w:spacing w:before="60" w:after="60"/>
              <w:rPr>
                <w:rFonts w:eastAsia="Verdana" w:cs="Segoe UI"/>
                <w:sz w:val="20"/>
                <w:szCs w:val="20"/>
                <w:lang w:val="es-ES"/>
              </w:rPr>
            </w:pPr>
          </w:p>
        </w:tc>
        <w:tc>
          <w:tcPr>
            <w:tcW w:w="764" w:type="pct"/>
            <w:shd w:val="clear" w:color="auto" w:fill="auto"/>
            <w:vAlign w:val="center"/>
          </w:tcPr>
          <w:p w14:paraId="064CE4A7" w14:textId="77777777" w:rsidR="00F1294E" w:rsidRPr="00AE4BEE" w:rsidRDefault="00F1294E" w:rsidP="0033072D">
            <w:pPr>
              <w:keepNext/>
              <w:keepLines/>
              <w:spacing w:before="60" w:after="60"/>
              <w:rPr>
                <w:rFonts w:eastAsia="Verdana" w:cs="Segoe UI"/>
                <w:sz w:val="20"/>
                <w:szCs w:val="20"/>
                <w:lang w:val="es-ES"/>
              </w:rPr>
            </w:pPr>
          </w:p>
        </w:tc>
      </w:tr>
      <w:tr w:rsidR="00E142D9" w:rsidRPr="00AE4BEE" w14:paraId="4567A84B" w14:textId="77777777" w:rsidTr="00AE4BEE">
        <w:trPr>
          <w:trHeight w:val="994"/>
          <w:jc w:val="center"/>
        </w:trPr>
        <w:tc>
          <w:tcPr>
            <w:tcW w:w="964" w:type="pct"/>
            <w:shd w:val="clear" w:color="auto" w:fill="auto"/>
            <w:vAlign w:val="center"/>
          </w:tcPr>
          <w:p w14:paraId="58456896" w14:textId="387E8323" w:rsidR="00E142D9" w:rsidRPr="00AE4BEE" w:rsidRDefault="00292F42" w:rsidP="00AE4BEE">
            <w:pPr>
              <w:keepNext/>
              <w:keepLines/>
              <w:spacing w:before="60" w:after="60"/>
              <w:rPr>
                <w:rFonts w:eastAsia="Calibri"/>
                <w:smallCaps/>
                <w:sz w:val="20"/>
                <w:szCs w:val="20"/>
                <w:lang w:val="es-ES"/>
              </w:rPr>
            </w:pPr>
            <w:r w:rsidRPr="00C51985">
              <w:rPr>
                <w:sz w:val="20"/>
                <w:szCs w:val="20"/>
                <w:lang w:val="es-ES"/>
              </w:rPr>
              <w:t>Estaciones marinas de observación en superficie</w:t>
            </w:r>
            <w:r w:rsidR="00AE4BEE">
              <w:rPr>
                <w:sz w:val="20"/>
                <w:szCs w:val="20"/>
                <w:lang w:val="es-ES"/>
              </w:rPr>
              <w:t xml:space="preserve"> </w:t>
            </w:r>
            <w:r w:rsidR="00E142D9" w:rsidRPr="00C51985">
              <w:rPr>
                <w:sz w:val="20"/>
                <w:szCs w:val="20"/>
                <w:lang w:val="es-ES"/>
              </w:rPr>
              <w:t>500</w:t>
            </w:r>
            <w:r w:rsidR="00AE4BEE">
              <w:rPr>
                <w:sz w:val="20"/>
                <w:szCs w:val="20"/>
                <w:lang w:val="es-ES"/>
              </w:rPr>
              <w:t> </w:t>
            </w:r>
            <w:r w:rsidR="00E142D9" w:rsidRPr="00C51985">
              <w:rPr>
                <w:sz w:val="20"/>
                <w:szCs w:val="20"/>
                <w:lang w:val="es-ES"/>
              </w:rPr>
              <w:t>km</w:t>
            </w:r>
          </w:p>
        </w:tc>
        <w:tc>
          <w:tcPr>
            <w:tcW w:w="839" w:type="pct"/>
            <w:shd w:val="clear" w:color="auto" w:fill="auto"/>
            <w:vAlign w:val="center"/>
          </w:tcPr>
          <w:p w14:paraId="79CA3009" w14:textId="77777777" w:rsidR="00E142D9" w:rsidRPr="00AE4BEE" w:rsidRDefault="00E142D9" w:rsidP="0033072D">
            <w:pPr>
              <w:keepNext/>
              <w:keepLines/>
              <w:spacing w:before="60" w:after="60"/>
              <w:rPr>
                <w:rFonts w:eastAsia="Verdana" w:cs="Segoe UI"/>
                <w:sz w:val="20"/>
                <w:szCs w:val="20"/>
                <w:lang w:val="es-ES"/>
              </w:rPr>
            </w:pPr>
          </w:p>
        </w:tc>
        <w:tc>
          <w:tcPr>
            <w:tcW w:w="992" w:type="pct"/>
            <w:shd w:val="clear" w:color="auto" w:fill="auto"/>
            <w:vAlign w:val="center"/>
          </w:tcPr>
          <w:p w14:paraId="5CA1B889" w14:textId="77777777" w:rsidR="00E142D9" w:rsidRPr="00AE4BEE" w:rsidRDefault="00E142D9" w:rsidP="0033072D">
            <w:pPr>
              <w:keepNext/>
              <w:keepLines/>
              <w:spacing w:before="60" w:after="60"/>
              <w:rPr>
                <w:rFonts w:eastAsia="Verdana" w:cs="Segoe UI"/>
                <w:sz w:val="20"/>
                <w:szCs w:val="20"/>
                <w:lang w:val="es-ES"/>
              </w:rPr>
            </w:pPr>
          </w:p>
        </w:tc>
        <w:tc>
          <w:tcPr>
            <w:tcW w:w="737" w:type="pct"/>
            <w:shd w:val="clear" w:color="auto" w:fill="auto"/>
            <w:vAlign w:val="center"/>
          </w:tcPr>
          <w:p w14:paraId="433155EE" w14:textId="77777777" w:rsidR="00E142D9" w:rsidRPr="00AE4BEE" w:rsidRDefault="00E142D9" w:rsidP="0033072D">
            <w:pPr>
              <w:keepNext/>
              <w:keepLines/>
              <w:spacing w:before="60" w:after="60"/>
              <w:rPr>
                <w:rFonts w:eastAsia="Verdana" w:cs="Segoe UI"/>
                <w:sz w:val="20"/>
                <w:szCs w:val="20"/>
                <w:lang w:val="es-ES"/>
              </w:rPr>
            </w:pPr>
          </w:p>
        </w:tc>
        <w:tc>
          <w:tcPr>
            <w:tcW w:w="704" w:type="pct"/>
            <w:shd w:val="clear" w:color="auto" w:fill="auto"/>
            <w:vAlign w:val="center"/>
          </w:tcPr>
          <w:p w14:paraId="56BA7675" w14:textId="77777777" w:rsidR="00E142D9" w:rsidRPr="00AE4BEE" w:rsidRDefault="00E142D9" w:rsidP="0033072D">
            <w:pPr>
              <w:keepNext/>
              <w:keepLines/>
              <w:spacing w:before="60" w:after="60"/>
              <w:rPr>
                <w:rFonts w:eastAsia="Verdana" w:cs="Segoe UI"/>
                <w:sz w:val="20"/>
                <w:szCs w:val="20"/>
                <w:lang w:val="es-ES"/>
              </w:rPr>
            </w:pPr>
          </w:p>
        </w:tc>
        <w:tc>
          <w:tcPr>
            <w:tcW w:w="764" w:type="pct"/>
            <w:shd w:val="clear" w:color="auto" w:fill="auto"/>
            <w:vAlign w:val="center"/>
          </w:tcPr>
          <w:p w14:paraId="4A5F4F07" w14:textId="77777777" w:rsidR="00E142D9" w:rsidRPr="00AE4BEE" w:rsidRDefault="00E142D9" w:rsidP="0033072D">
            <w:pPr>
              <w:keepNext/>
              <w:keepLines/>
              <w:spacing w:before="60" w:after="60"/>
              <w:rPr>
                <w:rFonts w:eastAsia="Verdana" w:cs="Segoe UI"/>
                <w:sz w:val="20"/>
                <w:szCs w:val="20"/>
                <w:lang w:val="es-ES"/>
              </w:rPr>
            </w:pPr>
          </w:p>
        </w:tc>
      </w:tr>
    </w:tbl>
    <w:p w14:paraId="34B01C8A" w14:textId="77777777" w:rsidR="00651E78" w:rsidRPr="00AE4BEE" w:rsidRDefault="00651E78" w:rsidP="002D6853">
      <w:pPr>
        <w:spacing w:after="240" w:line="240" w:lineRule="exact"/>
        <w:contextualSpacing/>
        <w:jc w:val="both"/>
        <w:rPr>
          <w:rFonts w:eastAsia="Calibri" w:cs="Segoe UI"/>
          <w:lang w:val="es-ES"/>
        </w:rPr>
      </w:pPr>
    </w:p>
    <w:p w14:paraId="6343A50F" w14:textId="77777777" w:rsidR="00651E78" w:rsidRPr="002E7790" w:rsidRDefault="00E142D9" w:rsidP="00972876">
      <w:pPr>
        <w:spacing w:after="240"/>
        <w:rPr>
          <w:lang w:val="es-ES"/>
        </w:rPr>
      </w:pPr>
      <w:r>
        <w:rPr>
          <w:lang w:val="es-ES"/>
        </w:rPr>
        <w:t>Advertencias sobre los resultados del análisis global de carencias:</w:t>
      </w:r>
    </w:p>
    <w:p w14:paraId="352022DE" w14:textId="233FD0C6" w:rsidR="00E142D9" w:rsidRPr="002E7790" w:rsidRDefault="00E142D9" w:rsidP="00972876">
      <w:pPr>
        <w:numPr>
          <w:ilvl w:val="0"/>
          <w:numId w:val="48"/>
        </w:numPr>
        <w:tabs>
          <w:tab w:val="left" w:pos="1134"/>
        </w:tabs>
        <w:spacing w:before="240" w:after="240" w:line="240" w:lineRule="exact"/>
        <w:ind w:left="567" w:hanging="567"/>
        <w:rPr>
          <w:lang w:val="es-ES"/>
        </w:rPr>
      </w:pPr>
      <w:r>
        <w:rPr>
          <w:lang w:val="es-ES"/>
        </w:rPr>
        <w:t xml:space="preserve">El umbral relativo a la presentación de informes de la categoría </w:t>
      </w:r>
      <w:r w:rsidR="006E70D1">
        <w:rPr>
          <w:lang w:val="es-ES"/>
        </w:rPr>
        <w:t>de e</w:t>
      </w:r>
      <w:r>
        <w:rPr>
          <w:lang w:val="es-ES"/>
        </w:rPr>
        <w:t xml:space="preserve">staciones terrestres de observación en altitud de la GBON fue de un sondeo diario, teniendo en cuenta que el requisito de la GBON es de dos sondeos </w:t>
      </w:r>
      <w:r w:rsidR="006E70D1">
        <w:rPr>
          <w:lang w:val="es-ES"/>
        </w:rPr>
        <w:t>al</w:t>
      </w:r>
      <w:r>
        <w:rPr>
          <w:lang w:val="es-ES"/>
        </w:rPr>
        <w:t xml:space="preserve"> día.</w:t>
      </w:r>
    </w:p>
    <w:p w14:paraId="2CE66023" w14:textId="0305A436" w:rsidR="00E142D9" w:rsidRPr="002E7790" w:rsidRDefault="00E142D9" w:rsidP="00972876">
      <w:pPr>
        <w:numPr>
          <w:ilvl w:val="0"/>
          <w:numId w:val="48"/>
        </w:numPr>
        <w:tabs>
          <w:tab w:val="left" w:pos="1134"/>
        </w:tabs>
        <w:spacing w:after="240" w:line="240" w:lineRule="exact"/>
        <w:ind w:left="567" w:hanging="567"/>
        <w:rPr>
          <w:lang w:val="es-ES"/>
        </w:rPr>
      </w:pPr>
      <w:r>
        <w:rPr>
          <w:lang w:val="es-ES"/>
        </w:rPr>
        <w:t>En el caso de los pequeños Estados insulares en desarrollo, se ha añadido la superficie de la zona económica exclusiva a la superficie total que constituye la base de la meta relativa al número de estaciones.</w:t>
      </w:r>
    </w:p>
    <w:p w14:paraId="1D02EF1E" w14:textId="607AFEB1" w:rsidR="00E142D9" w:rsidRPr="002E7790" w:rsidRDefault="00E142D9" w:rsidP="00972876">
      <w:pPr>
        <w:numPr>
          <w:ilvl w:val="0"/>
          <w:numId w:val="48"/>
        </w:numPr>
        <w:tabs>
          <w:tab w:val="left" w:pos="1134"/>
        </w:tabs>
        <w:spacing w:after="240" w:line="240" w:lineRule="exact"/>
        <w:ind w:left="567" w:hanging="567"/>
        <w:rPr>
          <w:rFonts w:eastAsia="Calibri" w:cs="Segoe UI"/>
          <w:lang w:val="es-ES"/>
        </w:rPr>
      </w:pPr>
      <w:r>
        <w:rPr>
          <w:lang w:val="es-ES"/>
        </w:rPr>
        <w:t xml:space="preserve">La superficie se calculó sobre la base de un modelo de sistema de información geográfica y puede </w:t>
      </w:r>
      <w:r w:rsidR="00CD0059" w:rsidRPr="00CD0059">
        <w:rPr>
          <w:lang w:val="es-ES"/>
        </w:rPr>
        <w:t>diferir ligeramente</w:t>
      </w:r>
      <w:r w:rsidR="00CD0059">
        <w:rPr>
          <w:lang w:val="es-ES"/>
        </w:rPr>
        <w:t xml:space="preserve"> </w:t>
      </w:r>
      <w:r>
        <w:rPr>
          <w:lang w:val="es-ES"/>
        </w:rPr>
        <w:t>de los registros oficiales.</w:t>
      </w:r>
    </w:p>
    <w:p w14:paraId="149C018E" w14:textId="77777777" w:rsidR="00E142D9" w:rsidRPr="002E7790" w:rsidRDefault="00E142D9" w:rsidP="00972876">
      <w:pPr>
        <w:keepNext/>
        <w:spacing w:after="240" w:line="240" w:lineRule="exact"/>
        <w:rPr>
          <w:rFonts w:eastAsia="Calibri"/>
          <w:b/>
          <w:bCs/>
          <w:lang w:val="es-ES"/>
        </w:rPr>
      </w:pPr>
      <w:r>
        <w:rPr>
          <w:b/>
          <w:bCs/>
          <w:lang w:val="es-ES"/>
        </w:rPr>
        <w:lastRenderedPageBreak/>
        <w:t>Etapa 2 - Análisis de las estaciones de la GBON existentes y su situación con respecto a los requisitos de la GBON</w:t>
      </w:r>
    </w:p>
    <w:p w14:paraId="3FF46C25" w14:textId="77777777" w:rsidR="00E142D9" w:rsidRPr="002E7790" w:rsidRDefault="00E142D9" w:rsidP="00972876">
      <w:pPr>
        <w:spacing w:after="240" w:line="240" w:lineRule="exact"/>
        <w:rPr>
          <w:rFonts w:eastAsia="Verdana" w:cs="Segoe UI"/>
          <w:lang w:val="es-ES"/>
        </w:rPr>
      </w:pPr>
      <w:r>
        <w:rPr>
          <w:lang w:val="es-ES"/>
        </w:rPr>
        <w:t>En la etapa 2 (Cuadro 5.3), el Miembro evalúa las redes y estaciones de observación nacionales existentes. Esto incluye las estaciones operadas por los SMHN y otras agencias gubernamentales o del sector privado que podrían incluirse en la red nacional de la GBON. Se evalúa el estado operativo de las estaciones junto con las variables notificadas y los mapas facilitados para indicar la distribución de las estaciones.</w:t>
      </w:r>
    </w:p>
    <w:p w14:paraId="1EE58CD4" w14:textId="4F5D030A" w:rsidR="00E142D9" w:rsidRPr="002E7790" w:rsidRDefault="00E142D9" w:rsidP="00972876">
      <w:pPr>
        <w:spacing w:after="240" w:line="240" w:lineRule="exact"/>
        <w:rPr>
          <w:rFonts w:eastAsia="Segoe UI" w:cs="Segoe UI"/>
          <w:lang w:val="es-ES"/>
        </w:rPr>
      </w:pPr>
      <w:r>
        <w:rPr>
          <w:lang w:val="es-ES"/>
        </w:rPr>
        <w:t xml:space="preserve">En primer lugar, se evalúan las redes de observación operadas por los SMHN y por terceros operadores a nivel de red. Las redes se evalúan sobre la base de los requisitos obligatorios de la GBON descritos en la columna izquierda del </w:t>
      </w:r>
      <w:r w:rsidR="00420C55">
        <w:rPr>
          <w:lang w:val="es-ES"/>
        </w:rPr>
        <w:t>c</w:t>
      </w:r>
      <w:r>
        <w:rPr>
          <w:lang w:val="es-ES"/>
        </w:rPr>
        <w:t>uadro 2.1 en</w:t>
      </w:r>
      <w:r w:rsidR="00404723">
        <w:rPr>
          <w:lang w:val="es-ES"/>
        </w:rPr>
        <w:t xml:space="preserve"> la sección</w:t>
      </w:r>
      <w:r>
        <w:rPr>
          <w:lang w:val="es-ES"/>
        </w:rPr>
        <w:t xml:space="preserve"> 2.1.</w:t>
      </w:r>
    </w:p>
    <w:p w14:paraId="67585C22" w14:textId="77777777" w:rsidR="00E142D9" w:rsidRPr="002E7790" w:rsidRDefault="00E142D9" w:rsidP="00972876">
      <w:pPr>
        <w:keepNext/>
        <w:keepLines/>
        <w:spacing w:after="240" w:line="240" w:lineRule="exact"/>
        <w:rPr>
          <w:rFonts w:eastAsia="Calibri" w:cs="Segoe UI"/>
          <w:lang w:val="es-ES"/>
        </w:rPr>
      </w:pPr>
      <w:r>
        <w:rPr>
          <w:lang w:val="es-ES"/>
        </w:rPr>
        <w:t>Los elementos que deben analizarse en la etapa 2 son:</w:t>
      </w:r>
    </w:p>
    <w:p w14:paraId="43D36A41" w14:textId="6A482FA9" w:rsidR="00E142D9" w:rsidRPr="002E7790" w:rsidRDefault="00E142D9" w:rsidP="00972876">
      <w:pPr>
        <w:keepNext/>
        <w:keepLines/>
        <w:numPr>
          <w:ilvl w:val="0"/>
          <w:numId w:val="49"/>
        </w:numPr>
        <w:tabs>
          <w:tab w:val="left" w:pos="1134"/>
        </w:tabs>
        <w:spacing w:after="240" w:line="240" w:lineRule="exact"/>
        <w:ind w:left="567" w:hanging="567"/>
        <w:rPr>
          <w:rFonts w:eastAsia="MS Mincho" w:cs="Segoe UI"/>
          <w:b/>
          <w:lang w:val="es-ES"/>
        </w:rPr>
      </w:pPr>
      <w:r>
        <w:rPr>
          <w:b/>
          <w:bCs/>
          <w:lang w:val="es-ES"/>
        </w:rPr>
        <w:t>Red de los SMHN:</w:t>
      </w:r>
      <w:r>
        <w:rPr>
          <w:lang w:val="es-ES"/>
        </w:rPr>
        <w:t xml:space="preserve"> número de estaciones gestionadas por los SMHN. Las estaciones en superficie, en altitud y marinas se evalúan y clasifican en las categorías "Presentación de informes" o "Por mejorar";</w:t>
      </w:r>
    </w:p>
    <w:p w14:paraId="20A01AA7" w14:textId="7711ED9E" w:rsidR="00E142D9" w:rsidRPr="002E7790" w:rsidRDefault="00E370F8" w:rsidP="00972876">
      <w:pPr>
        <w:numPr>
          <w:ilvl w:val="0"/>
          <w:numId w:val="49"/>
        </w:numPr>
        <w:tabs>
          <w:tab w:val="left" w:pos="1134"/>
        </w:tabs>
        <w:spacing w:after="240" w:line="240" w:lineRule="exact"/>
        <w:ind w:left="567" w:hanging="567"/>
        <w:rPr>
          <w:rFonts w:eastAsia="MS Mincho" w:cs="Segoe UI"/>
          <w:b/>
          <w:bCs/>
          <w:lang w:val="es-ES"/>
        </w:rPr>
      </w:pPr>
      <w:r>
        <w:rPr>
          <w:b/>
          <w:bCs/>
          <w:lang w:val="es-ES"/>
        </w:rPr>
        <w:t>Redes de terceros:</w:t>
      </w:r>
      <w:r>
        <w:rPr>
          <w:lang w:val="es-ES"/>
        </w:rPr>
        <w:t xml:space="preserve"> se evalúa el número de estaciones en superficie, en altitud y marinas operadas por terceros que podrían contribuir o incorporarse a la GBON y se clasifican en las categorías "Presentación de informes" o "Por mejorar". No se conocen necesariamente los datos de todas las redes de terceros, por lo que este elemento debe evaluarse sobre la base de los mejores conocimientos disponibles;</w:t>
      </w:r>
    </w:p>
    <w:p w14:paraId="392B46BE" w14:textId="77777777" w:rsidR="00651E78" w:rsidRPr="002E7790" w:rsidRDefault="00E142D9" w:rsidP="00972876">
      <w:pPr>
        <w:numPr>
          <w:ilvl w:val="0"/>
          <w:numId w:val="49"/>
        </w:numPr>
        <w:tabs>
          <w:tab w:val="left" w:pos="1134"/>
        </w:tabs>
        <w:spacing w:after="240" w:line="240" w:lineRule="exact"/>
        <w:ind w:left="567" w:hanging="567"/>
        <w:rPr>
          <w:rFonts w:eastAsia="MS Mincho" w:cs="Segoe UI"/>
          <w:bCs/>
          <w:lang w:val="es-ES"/>
        </w:rPr>
      </w:pPr>
      <w:r>
        <w:rPr>
          <w:b/>
          <w:bCs/>
          <w:lang w:val="es-ES"/>
        </w:rPr>
        <w:t>Información de la estación:</w:t>
      </w:r>
      <w:r>
        <w:rPr>
          <w:lang w:val="es-ES"/>
        </w:rPr>
        <w:t xml:space="preserve"> nombre y propietario de la estación, qué variables comunica y con qué periodicidad (Cuadro 5.4).</w:t>
      </w:r>
    </w:p>
    <w:p w14:paraId="4C45CB34" w14:textId="77777777" w:rsidR="00E142D9" w:rsidRPr="002E7790" w:rsidRDefault="00E142D9" w:rsidP="00972876">
      <w:pPr>
        <w:spacing w:after="240" w:line="240" w:lineRule="exact"/>
        <w:rPr>
          <w:rFonts w:eastAsia="Calibri" w:cs="Segoe UI"/>
          <w:lang w:val="es-ES"/>
        </w:rPr>
      </w:pPr>
      <w:r>
        <w:rPr>
          <w:lang w:val="es-ES"/>
        </w:rPr>
        <w:t>El estado de las estaciones existentes se define del siguiente modo:</w:t>
      </w:r>
    </w:p>
    <w:p w14:paraId="2C915E1D" w14:textId="77777777" w:rsidR="00E142D9" w:rsidRPr="002E7790" w:rsidRDefault="00E142D9" w:rsidP="00972876">
      <w:pPr>
        <w:numPr>
          <w:ilvl w:val="0"/>
          <w:numId w:val="6"/>
        </w:numPr>
        <w:spacing w:after="240" w:line="240" w:lineRule="exact"/>
        <w:ind w:left="567" w:hanging="567"/>
        <w:rPr>
          <w:rFonts w:eastAsia="MS Mincho" w:cs="Segoe UI"/>
          <w:b/>
          <w:lang w:val="es-ES"/>
        </w:rPr>
      </w:pPr>
      <w:r>
        <w:rPr>
          <w:b/>
          <w:bCs/>
          <w:lang w:val="es-ES"/>
        </w:rPr>
        <w:t>Presentación de informes:</w:t>
      </w:r>
      <w:r>
        <w:rPr>
          <w:lang w:val="es-ES"/>
        </w:rPr>
        <w:t xml:space="preserve"> si la estación operativa mide todas las variables de la GBON e intercambia los datos con el SIO en tiempo real.</w:t>
      </w:r>
    </w:p>
    <w:p w14:paraId="5FD4384E" w14:textId="77777777" w:rsidR="00E142D9" w:rsidRPr="002E7790" w:rsidRDefault="00B76B6B" w:rsidP="00972876">
      <w:pPr>
        <w:numPr>
          <w:ilvl w:val="0"/>
          <w:numId w:val="6"/>
        </w:numPr>
        <w:spacing w:after="240" w:line="240" w:lineRule="exact"/>
        <w:ind w:left="567" w:hanging="567"/>
        <w:rPr>
          <w:rFonts w:eastAsia="Calibri" w:cs="Segoe UI"/>
          <w:lang w:val="es-ES"/>
        </w:rPr>
      </w:pPr>
      <w:r>
        <w:rPr>
          <w:b/>
          <w:bCs/>
          <w:lang w:val="es-ES"/>
        </w:rPr>
        <w:t>Mejora:</w:t>
      </w:r>
      <w:r>
        <w:rPr>
          <w:lang w:val="es-ES"/>
        </w:rPr>
        <w:t xml:space="preserve"> la estación </w:t>
      </w:r>
      <w:proofErr w:type="gramStart"/>
      <w:r>
        <w:rPr>
          <w:lang w:val="es-ES"/>
        </w:rPr>
        <w:t>existe</w:t>
      </w:r>
      <w:proofErr w:type="gramEnd"/>
      <w:r>
        <w:rPr>
          <w:lang w:val="es-ES"/>
        </w:rPr>
        <w:t xml:space="preserve"> pero no es plenamente operativa y puede mejorarse de tal modo que presente informes a nivel internacional (por ejemplo, la estación tiene instrumentos averiados, no envía informes sobre el número mínimo de variables requeridas con la frecuencia necesaria, o las observaciones no se intercambian a nivel internacional a través del SIO). En el plan de contribuciones nacionales a la GBON se contemplan iniciativas de mejora.</w:t>
      </w:r>
    </w:p>
    <w:p w14:paraId="6B80E3E5" w14:textId="28E6E0C3" w:rsidR="00651E78" w:rsidRPr="002E7790" w:rsidRDefault="00651E78" w:rsidP="0059699A">
      <w:pPr>
        <w:spacing w:after="240" w:line="240" w:lineRule="exact"/>
        <w:jc w:val="center"/>
        <w:rPr>
          <w:b/>
          <w:bCs/>
          <w:lang w:val="es-ES"/>
        </w:rPr>
      </w:pPr>
      <w:r>
        <w:rPr>
          <w:b/>
          <w:bCs/>
          <w:lang w:val="es-ES"/>
        </w:rPr>
        <w:t>Cuadro 5.3.</w:t>
      </w:r>
      <w:r>
        <w:rPr>
          <w:lang w:val="es-ES"/>
        </w:rPr>
        <w:t xml:space="preserve"> </w:t>
      </w:r>
      <w:r>
        <w:rPr>
          <w:b/>
          <w:bCs/>
          <w:lang w:val="es-ES"/>
        </w:rPr>
        <w:t xml:space="preserve">Evaluación de las estaciones existentes según su estado </w:t>
      </w:r>
      <w:r w:rsidR="00972876">
        <w:rPr>
          <w:b/>
          <w:bCs/>
          <w:lang w:val="es-ES"/>
        </w:rPr>
        <w:br/>
      </w:r>
      <w:r>
        <w:rPr>
          <w:b/>
          <w:bCs/>
          <w:lang w:val="es-ES"/>
        </w:rPr>
        <w:t>operativo y la propiedad de la red</w:t>
      </w:r>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641"/>
        <w:gridCol w:w="1749"/>
        <w:gridCol w:w="1736"/>
        <w:gridCol w:w="1749"/>
        <w:gridCol w:w="1748"/>
      </w:tblGrid>
      <w:tr w:rsidR="00E142D9" w:rsidRPr="00AE4BEE" w14:paraId="5A66D3D0" w14:textId="77777777" w:rsidTr="00972876">
        <w:trPr>
          <w:tblHeader/>
        </w:trPr>
        <w:tc>
          <w:tcPr>
            <w:tcW w:w="1372" w:type="pct"/>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E7DEC3" w14:textId="33A58126" w:rsidR="00E142D9" w:rsidRPr="003530E7" w:rsidRDefault="006805B4" w:rsidP="00C90BAB">
            <w:pPr>
              <w:spacing w:before="60" w:after="60"/>
              <w:jc w:val="center"/>
              <w:textAlignment w:val="baseline"/>
              <w:rPr>
                <w:rFonts w:eastAsia="Times New Roman" w:cs="Segoe UI"/>
              </w:rPr>
            </w:pPr>
            <w:r>
              <w:rPr>
                <w:lang w:val="es-ES"/>
              </w:rPr>
              <w:t>Requisitos de la GBON</w:t>
            </w:r>
          </w:p>
        </w:tc>
        <w:tc>
          <w:tcPr>
            <w:tcW w:w="3628" w:type="pct"/>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59E303" w14:textId="41427936" w:rsidR="00E142D9" w:rsidRPr="002E7790" w:rsidRDefault="00E142D9" w:rsidP="00C90BAB">
            <w:pPr>
              <w:spacing w:before="60" w:after="60"/>
              <w:jc w:val="center"/>
              <w:textAlignment w:val="baseline"/>
              <w:rPr>
                <w:rFonts w:eastAsia="Times New Roman" w:cs="Segoe UI"/>
                <w:lang w:val="es-ES"/>
              </w:rPr>
            </w:pPr>
            <w:r>
              <w:rPr>
                <w:lang w:val="es-ES"/>
              </w:rPr>
              <w:t>Estaciones de observación existentes (# de estaciones)</w:t>
            </w:r>
          </w:p>
        </w:tc>
      </w:tr>
      <w:tr w:rsidR="00E142D9" w:rsidRPr="003530E7" w14:paraId="0C4DB070" w14:textId="77777777" w:rsidTr="00972876">
        <w:trPr>
          <w:tblHeader/>
        </w:trPr>
        <w:tc>
          <w:tcPr>
            <w:tcW w:w="137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D8B7CB" w14:textId="77777777" w:rsidR="00E142D9" w:rsidRPr="002E7790" w:rsidRDefault="00E142D9" w:rsidP="00C90BAB">
            <w:pPr>
              <w:spacing w:before="60" w:after="60"/>
              <w:jc w:val="center"/>
              <w:rPr>
                <w:rFonts w:eastAsia="Times New Roman" w:cs="Segoe UI"/>
                <w:lang w:val="es-ES" w:eastAsia="en-GB"/>
              </w:rPr>
            </w:pPr>
          </w:p>
        </w:tc>
        <w:tc>
          <w:tcPr>
            <w:tcW w:w="1811" w:type="pct"/>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0FA96E" w14:textId="2E30D719" w:rsidR="00E142D9" w:rsidRPr="003530E7" w:rsidRDefault="00E142D9" w:rsidP="00C90BAB">
            <w:pPr>
              <w:spacing w:before="60" w:after="60"/>
              <w:jc w:val="center"/>
              <w:textAlignment w:val="baseline"/>
              <w:rPr>
                <w:rFonts w:eastAsia="Times New Roman" w:cs="Segoe UI"/>
              </w:rPr>
            </w:pPr>
            <w:r>
              <w:rPr>
                <w:lang w:val="es-ES"/>
              </w:rPr>
              <w:t>Red de los SMHN</w:t>
            </w:r>
          </w:p>
        </w:tc>
        <w:tc>
          <w:tcPr>
            <w:tcW w:w="1817" w:type="pct"/>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E3D420" w14:textId="22B8A2B1" w:rsidR="00E142D9" w:rsidRPr="003530E7" w:rsidRDefault="00E370F8" w:rsidP="00C90BAB">
            <w:pPr>
              <w:spacing w:before="60" w:after="60"/>
              <w:jc w:val="center"/>
              <w:textAlignment w:val="baseline"/>
              <w:rPr>
                <w:rFonts w:eastAsia="Times New Roman" w:cs="Segoe UI"/>
              </w:rPr>
            </w:pPr>
            <w:r>
              <w:rPr>
                <w:lang w:val="es-ES"/>
              </w:rPr>
              <w:t>Red de terceros</w:t>
            </w:r>
          </w:p>
        </w:tc>
      </w:tr>
      <w:tr w:rsidR="00E142D9" w:rsidRPr="003530E7" w14:paraId="0E76133C" w14:textId="77777777" w:rsidTr="00972876">
        <w:trPr>
          <w:tblHeader/>
        </w:trPr>
        <w:tc>
          <w:tcPr>
            <w:tcW w:w="1372"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765FE1" w14:textId="77777777" w:rsidR="00E142D9" w:rsidRPr="003530E7" w:rsidRDefault="00E142D9" w:rsidP="00C90BAB">
            <w:pPr>
              <w:spacing w:before="60" w:after="60"/>
              <w:jc w:val="center"/>
              <w:rPr>
                <w:rFonts w:eastAsia="Times New Roman" w:cs="Segoe UI"/>
                <w:lang w:eastAsia="en-GB"/>
              </w:rPr>
            </w:pPr>
          </w:p>
        </w:tc>
        <w:tc>
          <w:tcPr>
            <w:tcW w:w="909"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48EE24" w14:textId="20461427" w:rsidR="00E142D9" w:rsidRPr="003530E7" w:rsidRDefault="00E142D9" w:rsidP="00C90BAB">
            <w:pPr>
              <w:spacing w:before="60" w:after="60"/>
              <w:jc w:val="center"/>
              <w:textAlignment w:val="baseline"/>
              <w:rPr>
                <w:rFonts w:eastAsia="Times New Roman" w:cs="Segoe UI"/>
              </w:rPr>
            </w:pPr>
            <w:r>
              <w:rPr>
                <w:lang w:val="es-ES"/>
              </w:rPr>
              <w:t>Presentación de informes</w:t>
            </w:r>
          </w:p>
        </w:tc>
        <w:tc>
          <w:tcPr>
            <w:tcW w:w="90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E4A5C8" w14:textId="3B7FEA52" w:rsidR="00E142D9" w:rsidRPr="003530E7" w:rsidRDefault="00E142D9" w:rsidP="00C90BAB">
            <w:pPr>
              <w:spacing w:before="60" w:after="60"/>
              <w:jc w:val="center"/>
              <w:textAlignment w:val="baseline"/>
              <w:rPr>
                <w:rFonts w:eastAsia="Times New Roman" w:cs="Segoe UI"/>
              </w:rPr>
            </w:pPr>
            <w:r>
              <w:rPr>
                <w:lang w:val="es-ES"/>
              </w:rPr>
              <w:t>Mejora</w:t>
            </w:r>
          </w:p>
        </w:tc>
        <w:tc>
          <w:tcPr>
            <w:tcW w:w="909"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B8C72A" w14:textId="354D1093" w:rsidR="00E142D9" w:rsidRPr="003530E7" w:rsidRDefault="00E142D9" w:rsidP="00C90BAB">
            <w:pPr>
              <w:spacing w:before="60" w:after="60"/>
              <w:jc w:val="center"/>
              <w:textAlignment w:val="baseline"/>
              <w:rPr>
                <w:rFonts w:eastAsia="Times New Roman" w:cs="Segoe UI"/>
              </w:rPr>
            </w:pPr>
            <w:r>
              <w:rPr>
                <w:lang w:val="es-ES"/>
              </w:rPr>
              <w:t>Presentación de informes</w:t>
            </w:r>
          </w:p>
        </w:tc>
        <w:tc>
          <w:tcPr>
            <w:tcW w:w="90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BD8A78" w14:textId="6881A780" w:rsidR="00E142D9" w:rsidRPr="003530E7" w:rsidRDefault="00E142D9" w:rsidP="00C90BAB">
            <w:pPr>
              <w:spacing w:before="60" w:after="60"/>
              <w:jc w:val="center"/>
              <w:textAlignment w:val="baseline"/>
              <w:rPr>
                <w:rFonts w:eastAsia="Times New Roman" w:cs="Segoe UI"/>
              </w:rPr>
            </w:pPr>
            <w:r>
              <w:rPr>
                <w:lang w:val="es-ES"/>
              </w:rPr>
              <w:t>Mejora</w:t>
            </w:r>
          </w:p>
        </w:tc>
      </w:tr>
      <w:tr w:rsidR="00E142D9" w:rsidRPr="00AE4BEE" w14:paraId="2D59D54B" w14:textId="77777777" w:rsidTr="005A3B73">
        <w:trPr>
          <w:trHeight w:val="458"/>
        </w:trPr>
        <w:tc>
          <w:tcPr>
            <w:tcW w:w="1372" w:type="pct"/>
            <w:tcBorders>
              <w:top w:val="single" w:sz="6" w:space="0" w:color="000000"/>
              <w:left w:val="single" w:sz="6" w:space="0" w:color="000000"/>
              <w:bottom w:val="single" w:sz="6" w:space="0" w:color="000000"/>
              <w:right w:val="single" w:sz="6" w:space="0" w:color="000000"/>
            </w:tcBorders>
            <w:shd w:val="clear" w:color="auto" w:fill="auto"/>
            <w:hideMark/>
          </w:tcPr>
          <w:p w14:paraId="5F02FB34" w14:textId="467AD0C9" w:rsidR="00E142D9" w:rsidRPr="002E7790" w:rsidRDefault="005A3B73" w:rsidP="0033072D">
            <w:pPr>
              <w:spacing w:before="60" w:after="60"/>
              <w:ind w:left="130"/>
              <w:textAlignment w:val="baseline"/>
              <w:rPr>
                <w:rFonts w:eastAsia="Times New Roman" w:cs="Segoe UI"/>
                <w:lang w:val="es-ES"/>
              </w:rPr>
            </w:pPr>
            <w:r>
              <w:rPr>
                <w:lang w:val="es-ES"/>
              </w:rPr>
              <w:t>Estaciones de observación en superficie, densidad normal, 200 km</w:t>
            </w:r>
          </w:p>
        </w:tc>
        <w:tc>
          <w:tcPr>
            <w:tcW w:w="909" w:type="pct"/>
            <w:tcBorders>
              <w:top w:val="single" w:sz="6" w:space="0" w:color="000000"/>
              <w:left w:val="single" w:sz="6" w:space="0" w:color="000000"/>
              <w:bottom w:val="single" w:sz="6" w:space="0" w:color="000000"/>
              <w:right w:val="single" w:sz="6" w:space="0" w:color="000000"/>
            </w:tcBorders>
            <w:shd w:val="clear" w:color="auto" w:fill="auto"/>
            <w:hideMark/>
          </w:tcPr>
          <w:p w14:paraId="106BD7C7" w14:textId="77777777" w:rsidR="000253B8" w:rsidRPr="002E7790" w:rsidRDefault="00E142D9" w:rsidP="0033072D">
            <w:pPr>
              <w:spacing w:before="60" w:after="60"/>
              <w:jc w:val="center"/>
              <w:textAlignment w:val="baseline"/>
              <w:rPr>
                <w:lang w:val="es-ES" w:eastAsia="en-GB"/>
              </w:rPr>
            </w:pPr>
            <w:r w:rsidRPr="002E7790">
              <w:rPr>
                <w:rFonts w:eastAsia="Times New Roman" w:cs="Segoe UI"/>
                <w:lang w:val="es-ES" w:eastAsia="en-GB"/>
              </w:rPr>
              <w:t> </w:t>
            </w:r>
          </w:p>
        </w:tc>
        <w:tc>
          <w:tcPr>
            <w:tcW w:w="902" w:type="pct"/>
            <w:tcBorders>
              <w:top w:val="single" w:sz="6" w:space="0" w:color="000000"/>
              <w:left w:val="single" w:sz="6" w:space="0" w:color="000000"/>
              <w:bottom w:val="single" w:sz="6" w:space="0" w:color="000000"/>
              <w:right w:val="single" w:sz="6" w:space="0" w:color="000000"/>
            </w:tcBorders>
            <w:shd w:val="clear" w:color="auto" w:fill="auto"/>
            <w:hideMark/>
          </w:tcPr>
          <w:p w14:paraId="1441B7A0" w14:textId="77777777" w:rsidR="00E142D9" w:rsidRPr="002E7790" w:rsidRDefault="00E142D9" w:rsidP="0033072D">
            <w:pPr>
              <w:spacing w:before="60" w:after="60"/>
              <w:jc w:val="center"/>
              <w:textAlignment w:val="baseline"/>
              <w:rPr>
                <w:rFonts w:eastAsia="Times New Roman" w:cs="Segoe UI"/>
                <w:lang w:val="es-ES" w:eastAsia="en-GB"/>
              </w:rPr>
            </w:pPr>
            <w:r w:rsidRPr="002E7790">
              <w:rPr>
                <w:rFonts w:eastAsia="Times New Roman" w:cs="Segoe UI"/>
                <w:lang w:val="es-ES" w:eastAsia="en-GB"/>
              </w:rPr>
              <w:t> </w:t>
            </w:r>
          </w:p>
        </w:tc>
        <w:tc>
          <w:tcPr>
            <w:tcW w:w="909" w:type="pct"/>
            <w:tcBorders>
              <w:top w:val="single" w:sz="6" w:space="0" w:color="000000"/>
              <w:left w:val="single" w:sz="6" w:space="0" w:color="000000"/>
              <w:bottom w:val="single" w:sz="6" w:space="0" w:color="000000"/>
              <w:right w:val="single" w:sz="6" w:space="0" w:color="000000"/>
            </w:tcBorders>
            <w:shd w:val="clear" w:color="auto" w:fill="auto"/>
            <w:hideMark/>
          </w:tcPr>
          <w:p w14:paraId="382E2FCB" w14:textId="77777777" w:rsidR="00E142D9" w:rsidRPr="002E7790" w:rsidRDefault="00E142D9" w:rsidP="0033072D">
            <w:pPr>
              <w:spacing w:before="60" w:after="60"/>
              <w:jc w:val="center"/>
              <w:textAlignment w:val="baseline"/>
              <w:rPr>
                <w:rFonts w:eastAsia="Times New Roman" w:cs="Segoe UI"/>
                <w:lang w:val="es-ES" w:eastAsia="en-GB"/>
              </w:rPr>
            </w:pPr>
            <w:r w:rsidRPr="002E7790">
              <w:rPr>
                <w:rFonts w:eastAsia="Times New Roman" w:cs="Segoe UI"/>
                <w:lang w:val="es-ES" w:eastAsia="en-GB"/>
              </w:rPr>
              <w:t> </w:t>
            </w:r>
          </w:p>
        </w:tc>
        <w:tc>
          <w:tcPr>
            <w:tcW w:w="908" w:type="pct"/>
            <w:tcBorders>
              <w:top w:val="single" w:sz="6" w:space="0" w:color="000000"/>
              <w:left w:val="single" w:sz="6" w:space="0" w:color="000000"/>
              <w:bottom w:val="single" w:sz="6" w:space="0" w:color="000000"/>
              <w:right w:val="single" w:sz="6" w:space="0" w:color="000000"/>
            </w:tcBorders>
            <w:shd w:val="clear" w:color="auto" w:fill="auto"/>
            <w:hideMark/>
          </w:tcPr>
          <w:p w14:paraId="5EEC6133" w14:textId="77777777" w:rsidR="00E142D9" w:rsidRPr="002E7790" w:rsidRDefault="00E142D9" w:rsidP="0033072D">
            <w:pPr>
              <w:spacing w:before="60" w:after="60"/>
              <w:jc w:val="center"/>
              <w:textAlignment w:val="baseline"/>
              <w:rPr>
                <w:rFonts w:eastAsia="Times New Roman" w:cs="Segoe UI"/>
                <w:lang w:val="es-ES" w:eastAsia="en-GB"/>
              </w:rPr>
            </w:pPr>
            <w:r w:rsidRPr="002E7790">
              <w:rPr>
                <w:rFonts w:eastAsia="Times New Roman" w:cs="Segoe UI"/>
                <w:lang w:val="es-ES" w:eastAsia="en-GB"/>
              </w:rPr>
              <w:t> </w:t>
            </w:r>
          </w:p>
        </w:tc>
      </w:tr>
      <w:tr w:rsidR="00D26C70" w:rsidRPr="00AE4BEE" w14:paraId="734E4582" w14:textId="77777777" w:rsidTr="00D26C70">
        <w:trPr>
          <w:trHeight w:val="522"/>
        </w:trPr>
        <w:tc>
          <w:tcPr>
            <w:tcW w:w="1372" w:type="pct"/>
            <w:tcBorders>
              <w:top w:val="single" w:sz="6" w:space="0" w:color="000000"/>
              <w:left w:val="single" w:sz="6" w:space="0" w:color="000000"/>
              <w:bottom w:val="single" w:sz="6" w:space="0" w:color="000000"/>
              <w:right w:val="single" w:sz="6" w:space="0" w:color="000000"/>
            </w:tcBorders>
            <w:shd w:val="clear" w:color="auto" w:fill="auto"/>
          </w:tcPr>
          <w:p w14:paraId="5CEA2DD9" w14:textId="5F246FA2" w:rsidR="00D26C70" w:rsidRPr="002E7790" w:rsidRDefault="005A3B73" w:rsidP="0033072D">
            <w:pPr>
              <w:spacing w:before="60" w:after="60"/>
              <w:ind w:left="130"/>
              <w:textAlignment w:val="baseline"/>
              <w:rPr>
                <w:rFonts w:eastAsia="Times New Roman" w:cs="Segoe UI"/>
                <w:lang w:val="es-ES"/>
              </w:rPr>
            </w:pPr>
            <w:r>
              <w:rPr>
                <w:lang w:val="es-ES"/>
              </w:rPr>
              <w:t>Estaciones de observación en superficie, densidad alta, 100 km</w:t>
            </w:r>
          </w:p>
        </w:tc>
        <w:tc>
          <w:tcPr>
            <w:tcW w:w="909" w:type="pct"/>
            <w:tcBorders>
              <w:top w:val="single" w:sz="6" w:space="0" w:color="000000"/>
              <w:left w:val="single" w:sz="6" w:space="0" w:color="000000"/>
              <w:bottom w:val="single" w:sz="6" w:space="0" w:color="000000"/>
              <w:right w:val="single" w:sz="6" w:space="0" w:color="000000"/>
            </w:tcBorders>
            <w:shd w:val="clear" w:color="auto" w:fill="auto"/>
            <w:hideMark/>
          </w:tcPr>
          <w:p w14:paraId="1EEDBA98" w14:textId="77777777" w:rsidR="00D26C70" w:rsidRPr="002E7790" w:rsidRDefault="00D26C70" w:rsidP="0033072D">
            <w:pPr>
              <w:spacing w:before="60" w:after="60"/>
              <w:jc w:val="center"/>
              <w:textAlignment w:val="baseline"/>
              <w:rPr>
                <w:rFonts w:eastAsia="Times New Roman" w:cs="Segoe UI"/>
                <w:lang w:val="es-ES" w:eastAsia="en-GB"/>
              </w:rPr>
            </w:pPr>
            <w:r w:rsidRPr="002E7790">
              <w:rPr>
                <w:rFonts w:eastAsia="Times New Roman" w:cs="Segoe UI"/>
                <w:lang w:val="es-ES" w:eastAsia="en-GB"/>
              </w:rPr>
              <w:t> </w:t>
            </w:r>
          </w:p>
        </w:tc>
        <w:tc>
          <w:tcPr>
            <w:tcW w:w="902" w:type="pct"/>
            <w:tcBorders>
              <w:top w:val="single" w:sz="6" w:space="0" w:color="000000"/>
              <w:left w:val="single" w:sz="6" w:space="0" w:color="000000"/>
              <w:bottom w:val="single" w:sz="6" w:space="0" w:color="000000"/>
              <w:right w:val="single" w:sz="6" w:space="0" w:color="000000"/>
            </w:tcBorders>
            <w:shd w:val="clear" w:color="auto" w:fill="auto"/>
            <w:hideMark/>
          </w:tcPr>
          <w:p w14:paraId="211C2E1D" w14:textId="77777777" w:rsidR="00D26C70" w:rsidRPr="002E7790" w:rsidRDefault="00D26C70" w:rsidP="0033072D">
            <w:pPr>
              <w:spacing w:before="60" w:after="60"/>
              <w:jc w:val="center"/>
              <w:textAlignment w:val="baseline"/>
              <w:rPr>
                <w:rFonts w:eastAsia="Times New Roman" w:cs="Segoe UI"/>
                <w:lang w:val="es-ES" w:eastAsia="en-GB"/>
              </w:rPr>
            </w:pPr>
            <w:r w:rsidRPr="002E7790">
              <w:rPr>
                <w:rFonts w:eastAsia="Times New Roman" w:cs="Segoe UI"/>
                <w:lang w:val="es-ES" w:eastAsia="en-GB"/>
              </w:rPr>
              <w:t> </w:t>
            </w:r>
          </w:p>
        </w:tc>
        <w:tc>
          <w:tcPr>
            <w:tcW w:w="909" w:type="pct"/>
            <w:tcBorders>
              <w:top w:val="single" w:sz="6" w:space="0" w:color="000000"/>
              <w:left w:val="single" w:sz="6" w:space="0" w:color="000000"/>
              <w:bottom w:val="single" w:sz="6" w:space="0" w:color="000000"/>
              <w:right w:val="single" w:sz="6" w:space="0" w:color="000000"/>
            </w:tcBorders>
            <w:shd w:val="clear" w:color="auto" w:fill="auto"/>
            <w:hideMark/>
          </w:tcPr>
          <w:p w14:paraId="5121E0A8" w14:textId="77777777" w:rsidR="00D26C70" w:rsidRPr="002E7790" w:rsidRDefault="00D26C70" w:rsidP="0033072D">
            <w:pPr>
              <w:spacing w:before="60" w:after="60"/>
              <w:jc w:val="center"/>
              <w:textAlignment w:val="baseline"/>
              <w:rPr>
                <w:rFonts w:eastAsia="Times New Roman" w:cs="Segoe UI"/>
                <w:lang w:val="es-ES" w:eastAsia="en-GB"/>
              </w:rPr>
            </w:pPr>
            <w:r w:rsidRPr="002E7790">
              <w:rPr>
                <w:rFonts w:eastAsia="Times New Roman" w:cs="Segoe UI"/>
                <w:lang w:val="es-ES" w:eastAsia="en-GB"/>
              </w:rPr>
              <w:t> </w:t>
            </w:r>
          </w:p>
        </w:tc>
        <w:tc>
          <w:tcPr>
            <w:tcW w:w="908" w:type="pct"/>
            <w:tcBorders>
              <w:top w:val="single" w:sz="6" w:space="0" w:color="000000"/>
              <w:left w:val="single" w:sz="6" w:space="0" w:color="000000"/>
              <w:bottom w:val="single" w:sz="6" w:space="0" w:color="000000"/>
              <w:right w:val="single" w:sz="6" w:space="0" w:color="000000"/>
            </w:tcBorders>
            <w:shd w:val="clear" w:color="auto" w:fill="auto"/>
            <w:hideMark/>
          </w:tcPr>
          <w:p w14:paraId="1BB469DF" w14:textId="77777777" w:rsidR="00D26C70" w:rsidRPr="002E7790" w:rsidRDefault="00D26C70" w:rsidP="0033072D">
            <w:pPr>
              <w:spacing w:before="60" w:after="60"/>
              <w:jc w:val="center"/>
              <w:textAlignment w:val="baseline"/>
              <w:rPr>
                <w:rFonts w:eastAsia="Times New Roman" w:cs="Segoe UI"/>
                <w:lang w:val="es-ES" w:eastAsia="en-GB"/>
              </w:rPr>
            </w:pPr>
            <w:r w:rsidRPr="002E7790">
              <w:rPr>
                <w:rFonts w:eastAsia="Times New Roman" w:cs="Segoe UI"/>
                <w:lang w:val="es-ES" w:eastAsia="en-GB"/>
              </w:rPr>
              <w:t> </w:t>
            </w:r>
          </w:p>
        </w:tc>
      </w:tr>
      <w:tr w:rsidR="00D26C70" w:rsidRPr="00AE4BEE" w14:paraId="330F4AFE" w14:textId="77777777" w:rsidTr="00D26C70">
        <w:trPr>
          <w:trHeight w:val="408"/>
        </w:trPr>
        <w:tc>
          <w:tcPr>
            <w:tcW w:w="1372" w:type="pct"/>
            <w:tcBorders>
              <w:top w:val="single" w:sz="6" w:space="0" w:color="000000"/>
              <w:left w:val="single" w:sz="6" w:space="0" w:color="000000"/>
              <w:bottom w:val="single" w:sz="6" w:space="0" w:color="000000"/>
              <w:right w:val="single" w:sz="6" w:space="0" w:color="000000"/>
            </w:tcBorders>
            <w:shd w:val="clear" w:color="auto" w:fill="auto"/>
          </w:tcPr>
          <w:p w14:paraId="1CCD8098" w14:textId="67DB593A" w:rsidR="00D26C70" w:rsidRPr="002E7790" w:rsidRDefault="000253B8" w:rsidP="0033072D">
            <w:pPr>
              <w:spacing w:before="60" w:after="60"/>
              <w:ind w:left="130"/>
              <w:rPr>
                <w:rFonts w:eastAsia="Times New Roman" w:cs="Segoe UI"/>
                <w:lang w:val="es-ES"/>
              </w:rPr>
            </w:pPr>
            <w:r>
              <w:rPr>
                <w:lang w:val="es-ES"/>
              </w:rPr>
              <w:lastRenderedPageBreak/>
              <w:t>Estaciones terrestres de observación en altitud, densidad normal, 500</w:t>
            </w:r>
            <w:r w:rsidR="00972876">
              <w:rPr>
                <w:lang w:val="es-ES"/>
              </w:rPr>
              <w:t> </w:t>
            </w:r>
            <w:r>
              <w:rPr>
                <w:lang w:val="es-ES"/>
              </w:rPr>
              <w:t xml:space="preserve">km </w:t>
            </w:r>
          </w:p>
        </w:tc>
        <w:tc>
          <w:tcPr>
            <w:tcW w:w="909" w:type="pct"/>
            <w:tcBorders>
              <w:top w:val="single" w:sz="6" w:space="0" w:color="000000"/>
              <w:left w:val="single" w:sz="6" w:space="0" w:color="000000"/>
              <w:bottom w:val="single" w:sz="6" w:space="0" w:color="000000"/>
              <w:right w:val="single" w:sz="6" w:space="0" w:color="000000"/>
            </w:tcBorders>
            <w:shd w:val="clear" w:color="auto" w:fill="auto"/>
          </w:tcPr>
          <w:p w14:paraId="12CAFE25" w14:textId="77777777" w:rsidR="00D26C70" w:rsidRPr="002E7790" w:rsidRDefault="00D26C70" w:rsidP="0033072D">
            <w:pPr>
              <w:spacing w:before="60" w:after="60"/>
              <w:jc w:val="center"/>
              <w:textAlignment w:val="baseline"/>
              <w:rPr>
                <w:rFonts w:eastAsia="Times New Roman" w:cs="Segoe UI"/>
                <w:lang w:val="es-ES" w:eastAsia="en-GB"/>
              </w:rPr>
            </w:pPr>
          </w:p>
        </w:tc>
        <w:tc>
          <w:tcPr>
            <w:tcW w:w="902" w:type="pct"/>
            <w:tcBorders>
              <w:top w:val="single" w:sz="6" w:space="0" w:color="000000"/>
              <w:left w:val="single" w:sz="6" w:space="0" w:color="000000"/>
              <w:bottom w:val="single" w:sz="6" w:space="0" w:color="000000"/>
              <w:right w:val="single" w:sz="6" w:space="0" w:color="000000"/>
            </w:tcBorders>
            <w:shd w:val="clear" w:color="auto" w:fill="auto"/>
          </w:tcPr>
          <w:p w14:paraId="10848A64" w14:textId="77777777" w:rsidR="00D26C70" w:rsidRPr="002E7790" w:rsidRDefault="00D26C70" w:rsidP="0033072D">
            <w:pPr>
              <w:spacing w:before="60" w:after="60"/>
              <w:jc w:val="center"/>
              <w:textAlignment w:val="baseline"/>
              <w:rPr>
                <w:rFonts w:eastAsia="Times New Roman" w:cs="Segoe UI"/>
                <w:lang w:val="es-ES" w:eastAsia="en-GB"/>
              </w:rPr>
            </w:pPr>
          </w:p>
        </w:tc>
        <w:tc>
          <w:tcPr>
            <w:tcW w:w="909" w:type="pct"/>
            <w:tcBorders>
              <w:top w:val="single" w:sz="6" w:space="0" w:color="000000"/>
              <w:left w:val="single" w:sz="6" w:space="0" w:color="000000"/>
              <w:bottom w:val="single" w:sz="6" w:space="0" w:color="000000"/>
              <w:right w:val="single" w:sz="6" w:space="0" w:color="000000"/>
            </w:tcBorders>
            <w:shd w:val="clear" w:color="auto" w:fill="auto"/>
          </w:tcPr>
          <w:p w14:paraId="47BDD39A" w14:textId="77777777" w:rsidR="00D26C70" w:rsidRPr="002E7790" w:rsidRDefault="00D26C70" w:rsidP="0033072D">
            <w:pPr>
              <w:spacing w:before="60" w:after="60"/>
              <w:jc w:val="center"/>
              <w:textAlignment w:val="baseline"/>
              <w:rPr>
                <w:rFonts w:eastAsia="Times New Roman" w:cs="Segoe UI"/>
                <w:lang w:val="es-ES" w:eastAsia="en-GB"/>
              </w:rPr>
            </w:pPr>
          </w:p>
        </w:tc>
        <w:tc>
          <w:tcPr>
            <w:tcW w:w="908" w:type="pct"/>
            <w:tcBorders>
              <w:top w:val="single" w:sz="6" w:space="0" w:color="000000"/>
              <w:left w:val="single" w:sz="6" w:space="0" w:color="000000"/>
              <w:bottom w:val="single" w:sz="6" w:space="0" w:color="000000"/>
              <w:right w:val="single" w:sz="6" w:space="0" w:color="000000"/>
            </w:tcBorders>
            <w:shd w:val="clear" w:color="auto" w:fill="auto"/>
          </w:tcPr>
          <w:p w14:paraId="586B9A67" w14:textId="77777777" w:rsidR="00D26C70" w:rsidRPr="002E7790" w:rsidRDefault="00D26C70" w:rsidP="0033072D">
            <w:pPr>
              <w:spacing w:before="60" w:after="60"/>
              <w:jc w:val="center"/>
              <w:textAlignment w:val="baseline"/>
              <w:rPr>
                <w:rFonts w:eastAsia="Times New Roman" w:cs="Segoe UI"/>
                <w:lang w:val="es-ES" w:eastAsia="en-GB"/>
              </w:rPr>
            </w:pPr>
          </w:p>
        </w:tc>
      </w:tr>
      <w:tr w:rsidR="00D26C70" w:rsidRPr="00AE4BEE" w14:paraId="64116254" w14:textId="77777777" w:rsidTr="00D26C70">
        <w:trPr>
          <w:trHeight w:val="408"/>
        </w:trPr>
        <w:tc>
          <w:tcPr>
            <w:tcW w:w="1372" w:type="pct"/>
            <w:tcBorders>
              <w:top w:val="single" w:sz="6" w:space="0" w:color="000000"/>
              <w:left w:val="single" w:sz="6" w:space="0" w:color="000000"/>
              <w:bottom w:val="single" w:sz="6" w:space="0" w:color="000000"/>
              <w:right w:val="single" w:sz="6" w:space="0" w:color="000000"/>
            </w:tcBorders>
            <w:shd w:val="clear" w:color="auto" w:fill="auto"/>
          </w:tcPr>
          <w:p w14:paraId="6CBCC97D" w14:textId="7014872E" w:rsidR="00D26C70" w:rsidRPr="002E7790" w:rsidRDefault="000253B8" w:rsidP="0033072D">
            <w:pPr>
              <w:spacing w:before="60" w:after="60"/>
              <w:ind w:left="130"/>
              <w:rPr>
                <w:lang w:val="es-ES"/>
              </w:rPr>
            </w:pPr>
            <w:r>
              <w:rPr>
                <w:lang w:val="es-ES"/>
              </w:rPr>
              <w:t>Estaciones terrestres de observación en altitud, densidad alta, 200 km</w:t>
            </w:r>
          </w:p>
        </w:tc>
        <w:tc>
          <w:tcPr>
            <w:tcW w:w="909" w:type="pct"/>
            <w:tcBorders>
              <w:top w:val="single" w:sz="6" w:space="0" w:color="000000"/>
              <w:left w:val="single" w:sz="6" w:space="0" w:color="000000"/>
              <w:bottom w:val="single" w:sz="6" w:space="0" w:color="000000"/>
              <w:right w:val="single" w:sz="6" w:space="0" w:color="000000"/>
            </w:tcBorders>
            <w:shd w:val="clear" w:color="auto" w:fill="auto"/>
          </w:tcPr>
          <w:p w14:paraId="218AAABC" w14:textId="77777777" w:rsidR="00D26C70" w:rsidRPr="002E7790" w:rsidRDefault="00D26C70" w:rsidP="0033072D">
            <w:pPr>
              <w:spacing w:before="60" w:after="60"/>
              <w:jc w:val="center"/>
              <w:textAlignment w:val="baseline"/>
              <w:rPr>
                <w:rFonts w:eastAsia="Times New Roman" w:cs="Segoe UI"/>
                <w:lang w:val="es-ES" w:eastAsia="en-GB"/>
              </w:rPr>
            </w:pPr>
          </w:p>
        </w:tc>
        <w:tc>
          <w:tcPr>
            <w:tcW w:w="902" w:type="pct"/>
            <w:tcBorders>
              <w:top w:val="single" w:sz="6" w:space="0" w:color="000000"/>
              <w:left w:val="single" w:sz="6" w:space="0" w:color="000000"/>
              <w:bottom w:val="single" w:sz="6" w:space="0" w:color="000000"/>
              <w:right w:val="single" w:sz="6" w:space="0" w:color="000000"/>
            </w:tcBorders>
            <w:shd w:val="clear" w:color="auto" w:fill="auto"/>
          </w:tcPr>
          <w:p w14:paraId="5FC4BE8B" w14:textId="77777777" w:rsidR="00D26C70" w:rsidRPr="002E7790" w:rsidRDefault="00D26C70" w:rsidP="0033072D">
            <w:pPr>
              <w:spacing w:before="60" w:after="60"/>
              <w:jc w:val="center"/>
              <w:textAlignment w:val="baseline"/>
              <w:rPr>
                <w:rFonts w:eastAsia="Times New Roman" w:cs="Segoe UI"/>
                <w:lang w:val="es-ES" w:eastAsia="en-GB"/>
              </w:rPr>
            </w:pPr>
          </w:p>
        </w:tc>
        <w:tc>
          <w:tcPr>
            <w:tcW w:w="909" w:type="pct"/>
            <w:tcBorders>
              <w:top w:val="single" w:sz="6" w:space="0" w:color="000000"/>
              <w:left w:val="single" w:sz="6" w:space="0" w:color="000000"/>
              <w:bottom w:val="single" w:sz="6" w:space="0" w:color="000000"/>
              <w:right w:val="single" w:sz="6" w:space="0" w:color="000000"/>
            </w:tcBorders>
            <w:shd w:val="clear" w:color="auto" w:fill="auto"/>
          </w:tcPr>
          <w:p w14:paraId="19CEC8F1" w14:textId="77777777" w:rsidR="00D26C70" w:rsidRPr="002E7790" w:rsidRDefault="00D26C70" w:rsidP="0033072D">
            <w:pPr>
              <w:spacing w:before="60" w:after="60"/>
              <w:jc w:val="center"/>
              <w:textAlignment w:val="baseline"/>
              <w:rPr>
                <w:rFonts w:eastAsia="Times New Roman" w:cs="Segoe UI"/>
                <w:lang w:val="es-ES" w:eastAsia="en-GB"/>
              </w:rPr>
            </w:pPr>
          </w:p>
        </w:tc>
        <w:tc>
          <w:tcPr>
            <w:tcW w:w="908" w:type="pct"/>
            <w:tcBorders>
              <w:top w:val="single" w:sz="6" w:space="0" w:color="000000"/>
              <w:left w:val="single" w:sz="6" w:space="0" w:color="000000"/>
              <w:bottom w:val="single" w:sz="6" w:space="0" w:color="000000"/>
              <w:right w:val="single" w:sz="6" w:space="0" w:color="000000"/>
            </w:tcBorders>
            <w:shd w:val="clear" w:color="auto" w:fill="auto"/>
          </w:tcPr>
          <w:p w14:paraId="2CFF955A" w14:textId="77777777" w:rsidR="00D26C70" w:rsidRPr="002E7790" w:rsidRDefault="00D26C70" w:rsidP="0033072D">
            <w:pPr>
              <w:spacing w:before="60" w:after="60"/>
              <w:jc w:val="center"/>
              <w:textAlignment w:val="baseline"/>
              <w:rPr>
                <w:rFonts w:eastAsia="Times New Roman" w:cs="Segoe UI"/>
                <w:lang w:val="es-ES" w:eastAsia="en-GB"/>
              </w:rPr>
            </w:pPr>
          </w:p>
        </w:tc>
      </w:tr>
      <w:tr w:rsidR="00D26C70" w:rsidRPr="00AE4BEE" w14:paraId="2E6E1968" w14:textId="77777777" w:rsidTr="00D26C70">
        <w:trPr>
          <w:trHeight w:val="756"/>
        </w:trPr>
        <w:tc>
          <w:tcPr>
            <w:tcW w:w="1372" w:type="pct"/>
            <w:tcBorders>
              <w:top w:val="single" w:sz="6" w:space="0" w:color="000000"/>
              <w:left w:val="single" w:sz="6" w:space="0" w:color="000000"/>
              <w:bottom w:val="single" w:sz="6" w:space="0" w:color="000000"/>
              <w:right w:val="single" w:sz="6" w:space="0" w:color="000000"/>
            </w:tcBorders>
            <w:shd w:val="clear" w:color="auto" w:fill="auto"/>
          </w:tcPr>
          <w:p w14:paraId="412B7D62" w14:textId="64FAF63C" w:rsidR="00D26C70" w:rsidRPr="002E7790" w:rsidRDefault="000253B8" w:rsidP="0033072D">
            <w:pPr>
              <w:spacing w:before="60" w:after="60"/>
              <w:ind w:left="130"/>
              <w:rPr>
                <w:lang w:val="es-ES"/>
              </w:rPr>
            </w:pPr>
            <w:r>
              <w:rPr>
                <w:lang w:val="es-ES"/>
              </w:rPr>
              <w:t>Estaciones marinas de observación en altitud, 1</w:t>
            </w:r>
            <w:r w:rsidR="00972876">
              <w:rPr>
                <w:lang w:val="es-ES"/>
              </w:rPr>
              <w:t> </w:t>
            </w:r>
            <w:r>
              <w:rPr>
                <w:lang w:val="es-ES"/>
              </w:rPr>
              <w:t>000 km</w:t>
            </w:r>
          </w:p>
        </w:tc>
        <w:tc>
          <w:tcPr>
            <w:tcW w:w="909" w:type="pct"/>
            <w:tcBorders>
              <w:top w:val="single" w:sz="6" w:space="0" w:color="000000"/>
              <w:left w:val="single" w:sz="6" w:space="0" w:color="000000"/>
              <w:bottom w:val="single" w:sz="6" w:space="0" w:color="000000"/>
              <w:right w:val="single" w:sz="6" w:space="0" w:color="000000"/>
            </w:tcBorders>
            <w:shd w:val="clear" w:color="auto" w:fill="auto"/>
          </w:tcPr>
          <w:p w14:paraId="3C75EFE5" w14:textId="77777777" w:rsidR="00D26C70" w:rsidRPr="002E7790" w:rsidRDefault="00D26C70" w:rsidP="0033072D">
            <w:pPr>
              <w:spacing w:before="60" w:after="60"/>
              <w:jc w:val="center"/>
              <w:textAlignment w:val="baseline"/>
              <w:rPr>
                <w:rFonts w:eastAsia="Times New Roman" w:cs="Segoe UI"/>
                <w:lang w:val="es-ES" w:eastAsia="en-GB"/>
              </w:rPr>
            </w:pPr>
          </w:p>
        </w:tc>
        <w:tc>
          <w:tcPr>
            <w:tcW w:w="902" w:type="pct"/>
            <w:tcBorders>
              <w:top w:val="single" w:sz="6" w:space="0" w:color="000000"/>
              <w:left w:val="single" w:sz="6" w:space="0" w:color="000000"/>
              <w:bottom w:val="single" w:sz="6" w:space="0" w:color="000000"/>
              <w:right w:val="single" w:sz="6" w:space="0" w:color="000000"/>
            </w:tcBorders>
            <w:shd w:val="clear" w:color="auto" w:fill="auto"/>
          </w:tcPr>
          <w:p w14:paraId="1380EF1F" w14:textId="77777777" w:rsidR="00D26C70" w:rsidRPr="002E7790" w:rsidRDefault="00D26C70" w:rsidP="0033072D">
            <w:pPr>
              <w:spacing w:before="60" w:after="60"/>
              <w:jc w:val="center"/>
              <w:textAlignment w:val="baseline"/>
              <w:rPr>
                <w:rFonts w:eastAsia="Times New Roman" w:cs="Segoe UI"/>
                <w:lang w:val="es-ES" w:eastAsia="en-GB"/>
              </w:rPr>
            </w:pPr>
          </w:p>
        </w:tc>
        <w:tc>
          <w:tcPr>
            <w:tcW w:w="909" w:type="pct"/>
            <w:tcBorders>
              <w:top w:val="single" w:sz="6" w:space="0" w:color="000000"/>
              <w:left w:val="single" w:sz="6" w:space="0" w:color="000000"/>
              <w:bottom w:val="single" w:sz="6" w:space="0" w:color="000000"/>
              <w:right w:val="single" w:sz="6" w:space="0" w:color="000000"/>
            </w:tcBorders>
            <w:shd w:val="clear" w:color="auto" w:fill="auto"/>
          </w:tcPr>
          <w:p w14:paraId="54624450" w14:textId="77777777" w:rsidR="00D26C70" w:rsidRPr="002E7790" w:rsidRDefault="00D26C70" w:rsidP="0033072D">
            <w:pPr>
              <w:spacing w:before="60" w:after="60"/>
              <w:jc w:val="center"/>
              <w:textAlignment w:val="baseline"/>
              <w:rPr>
                <w:rFonts w:eastAsia="Times New Roman" w:cs="Segoe UI"/>
                <w:lang w:val="es-ES" w:eastAsia="en-GB"/>
              </w:rPr>
            </w:pPr>
          </w:p>
        </w:tc>
        <w:tc>
          <w:tcPr>
            <w:tcW w:w="908" w:type="pct"/>
            <w:tcBorders>
              <w:top w:val="single" w:sz="6" w:space="0" w:color="000000"/>
              <w:left w:val="single" w:sz="6" w:space="0" w:color="000000"/>
              <w:bottom w:val="single" w:sz="6" w:space="0" w:color="000000"/>
              <w:right w:val="single" w:sz="6" w:space="0" w:color="000000"/>
            </w:tcBorders>
            <w:shd w:val="clear" w:color="auto" w:fill="auto"/>
          </w:tcPr>
          <w:p w14:paraId="58E398E9" w14:textId="77777777" w:rsidR="00D26C70" w:rsidRPr="002E7790" w:rsidRDefault="00D26C70" w:rsidP="0033072D">
            <w:pPr>
              <w:spacing w:before="60" w:after="60"/>
              <w:jc w:val="center"/>
              <w:textAlignment w:val="baseline"/>
              <w:rPr>
                <w:rFonts w:eastAsia="Times New Roman" w:cs="Segoe UI"/>
                <w:lang w:val="es-ES" w:eastAsia="en-GB"/>
              </w:rPr>
            </w:pPr>
          </w:p>
        </w:tc>
      </w:tr>
      <w:tr w:rsidR="00D26C70" w:rsidRPr="00AE4BEE" w14:paraId="6182E3E5" w14:textId="77777777" w:rsidTr="00D26C70">
        <w:trPr>
          <w:trHeight w:val="507"/>
        </w:trPr>
        <w:tc>
          <w:tcPr>
            <w:tcW w:w="1372" w:type="pct"/>
            <w:tcBorders>
              <w:top w:val="single" w:sz="6" w:space="0" w:color="000000"/>
              <w:left w:val="single" w:sz="6" w:space="0" w:color="000000"/>
              <w:bottom w:val="single" w:sz="6" w:space="0" w:color="000000"/>
              <w:right w:val="single" w:sz="6" w:space="0" w:color="000000"/>
            </w:tcBorders>
            <w:shd w:val="clear" w:color="auto" w:fill="auto"/>
          </w:tcPr>
          <w:p w14:paraId="10470008" w14:textId="09C5196F" w:rsidR="00D26C70" w:rsidRPr="002E7790" w:rsidRDefault="000253B8" w:rsidP="0033072D">
            <w:pPr>
              <w:spacing w:before="60" w:after="60"/>
              <w:ind w:left="130"/>
              <w:rPr>
                <w:rFonts w:eastAsia="Times New Roman" w:cs="Segoe UI"/>
                <w:lang w:val="es-ES"/>
              </w:rPr>
            </w:pPr>
            <w:r>
              <w:rPr>
                <w:lang w:val="es-ES"/>
              </w:rPr>
              <w:t>Estaciones marinas de observación en superficie, 500 km</w:t>
            </w:r>
          </w:p>
        </w:tc>
        <w:tc>
          <w:tcPr>
            <w:tcW w:w="909" w:type="pct"/>
            <w:tcBorders>
              <w:top w:val="single" w:sz="6" w:space="0" w:color="000000"/>
              <w:left w:val="single" w:sz="6" w:space="0" w:color="000000"/>
              <w:bottom w:val="single" w:sz="6" w:space="0" w:color="000000"/>
              <w:right w:val="single" w:sz="6" w:space="0" w:color="000000"/>
            </w:tcBorders>
            <w:shd w:val="clear" w:color="auto" w:fill="auto"/>
          </w:tcPr>
          <w:p w14:paraId="0ED8F84B" w14:textId="77777777" w:rsidR="00D26C70" w:rsidRPr="002E7790" w:rsidRDefault="00D26C70" w:rsidP="0033072D">
            <w:pPr>
              <w:spacing w:before="60" w:after="60"/>
              <w:jc w:val="center"/>
              <w:textAlignment w:val="baseline"/>
              <w:rPr>
                <w:rFonts w:eastAsia="Times New Roman" w:cs="Segoe UI"/>
                <w:lang w:val="es-ES" w:eastAsia="en-GB"/>
              </w:rPr>
            </w:pPr>
          </w:p>
        </w:tc>
        <w:tc>
          <w:tcPr>
            <w:tcW w:w="902" w:type="pct"/>
            <w:tcBorders>
              <w:top w:val="single" w:sz="6" w:space="0" w:color="000000"/>
              <w:left w:val="single" w:sz="6" w:space="0" w:color="000000"/>
              <w:bottom w:val="single" w:sz="6" w:space="0" w:color="000000"/>
              <w:right w:val="single" w:sz="6" w:space="0" w:color="000000"/>
            </w:tcBorders>
            <w:shd w:val="clear" w:color="auto" w:fill="auto"/>
          </w:tcPr>
          <w:p w14:paraId="34BA105E" w14:textId="77777777" w:rsidR="00D26C70" w:rsidRPr="002E7790" w:rsidRDefault="00D26C70" w:rsidP="0033072D">
            <w:pPr>
              <w:spacing w:before="60" w:after="60"/>
              <w:jc w:val="center"/>
              <w:textAlignment w:val="baseline"/>
              <w:rPr>
                <w:rFonts w:eastAsia="Times New Roman" w:cs="Segoe UI"/>
                <w:lang w:val="es-ES" w:eastAsia="en-GB"/>
              </w:rPr>
            </w:pPr>
          </w:p>
        </w:tc>
        <w:tc>
          <w:tcPr>
            <w:tcW w:w="909" w:type="pct"/>
            <w:tcBorders>
              <w:top w:val="single" w:sz="6" w:space="0" w:color="000000"/>
              <w:left w:val="single" w:sz="6" w:space="0" w:color="000000"/>
              <w:bottom w:val="single" w:sz="6" w:space="0" w:color="000000"/>
              <w:right w:val="single" w:sz="6" w:space="0" w:color="000000"/>
            </w:tcBorders>
            <w:shd w:val="clear" w:color="auto" w:fill="auto"/>
          </w:tcPr>
          <w:p w14:paraId="6112A5B0" w14:textId="77777777" w:rsidR="00D26C70" w:rsidRPr="002E7790" w:rsidRDefault="00D26C70" w:rsidP="0033072D">
            <w:pPr>
              <w:spacing w:before="60" w:after="60"/>
              <w:jc w:val="center"/>
              <w:textAlignment w:val="baseline"/>
              <w:rPr>
                <w:rFonts w:eastAsia="Times New Roman" w:cs="Segoe UI"/>
                <w:lang w:val="es-ES" w:eastAsia="en-GB"/>
              </w:rPr>
            </w:pPr>
          </w:p>
        </w:tc>
        <w:tc>
          <w:tcPr>
            <w:tcW w:w="908" w:type="pct"/>
            <w:tcBorders>
              <w:top w:val="single" w:sz="6" w:space="0" w:color="000000"/>
              <w:left w:val="single" w:sz="6" w:space="0" w:color="000000"/>
              <w:bottom w:val="single" w:sz="6" w:space="0" w:color="000000"/>
              <w:right w:val="single" w:sz="6" w:space="0" w:color="000000"/>
            </w:tcBorders>
            <w:shd w:val="clear" w:color="auto" w:fill="auto"/>
          </w:tcPr>
          <w:p w14:paraId="236B2BFA" w14:textId="77777777" w:rsidR="00D26C70" w:rsidRPr="002E7790" w:rsidRDefault="00D26C70" w:rsidP="0033072D">
            <w:pPr>
              <w:spacing w:before="60" w:after="60"/>
              <w:jc w:val="center"/>
              <w:textAlignment w:val="baseline"/>
              <w:rPr>
                <w:rFonts w:eastAsia="Times New Roman" w:cs="Segoe UI"/>
                <w:lang w:val="es-ES" w:eastAsia="en-GB"/>
              </w:rPr>
            </w:pPr>
          </w:p>
        </w:tc>
      </w:tr>
    </w:tbl>
    <w:p w14:paraId="0B7A8CBC" w14:textId="77777777" w:rsidR="00E142D9" w:rsidRPr="002E7790" w:rsidRDefault="00E142D9" w:rsidP="00972876">
      <w:pPr>
        <w:spacing w:before="120" w:after="120"/>
        <w:rPr>
          <w:rFonts w:eastAsia="Segoe UI" w:cs="Segoe UI"/>
          <w:i/>
          <w:iCs/>
          <w:lang w:val="es-ES"/>
        </w:rPr>
      </w:pPr>
      <w:r>
        <w:rPr>
          <w:i/>
          <w:iCs/>
          <w:lang w:val="es-ES"/>
        </w:rPr>
        <w:t>*** Espacio reservado para los mapas de las redes en superficie y en altitud existentes ***</w:t>
      </w:r>
    </w:p>
    <w:p w14:paraId="7775C210" w14:textId="6546093E" w:rsidR="00E142D9" w:rsidRPr="002E7790" w:rsidRDefault="00E142D9" w:rsidP="00972876">
      <w:pPr>
        <w:spacing w:after="240" w:line="240" w:lineRule="exact"/>
        <w:rPr>
          <w:rFonts w:eastAsia="Segoe UI" w:cs="Segoe UI"/>
          <w:lang w:val="es-ES"/>
        </w:rPr>
      </w:pPr>
      <w:r>
        <w:rPr>
          <w:lang w:val="es-ES"/>
        </w:rPr>
        <w:t>En segundo lugar, se analiza el estado de las estaciones existentes en función de las variables de la GBON y de los requisitos internacionales relativos al ciclo de presentación de informes (Cuadro 2.1 en</w:t>
      </w:r>
      <w:r w:rsidR="00FD0E5C">
        <w:rPr>
          <w:lang w:val="es-ES"/>
        </w:rPr>
        <w:t xml:space="preserve"> la sección</w:t>
      </w:r>
      <w:r>
        <w:rPr>
          <w:lang w:val="es-ES"/>
        </w:rPr>
        <w:t xml:space="preserve"> 2.1). El ciclo de presentación de informes se evalúa por estación con respecto a una frecuencia de presentación de una hora para las estaciones en superficie y marinas y de dos veces al día para las estaciones en altitud.</w:t>
      </w:r>
    </w:p>
    <w:p w14:paraId="7BA2E1BC" w14:textId="36743DD5" w:rsidR="00651E78" w:rsidRPr="002E7790" w:rsidRDefault="00651E78" w:rsidP="0059699A">
      <w:pPr>
        <w:keepNext/>
        <w:keepLines/>
        <w:spacing w:after="240" w:line="240" w:lineRule="exact"/>
        <w:jc w:val="center"/>
        <w:rPr>
          <w:b/>
          <w:bCs/>
          <w:lang w:val="es-ES"/>
        </w:rPr>
      </w:pPr>
      <w:r>
        <w:rPr>
          <w:b/>
          <w:bCs/>
          <w:lang w:val="es-ES"/>
        </w:rPr>
        <w:t>Cuadro 5.4.</w:t>
      </w:r>
      <w:r>
        <w:rPr>
          <w:lang w:val="es-ES"/>
        </w:rPr>
        <w:t xml:space="preserve"> </w:t>
      </w:r>
      <w:r>
        <w:rPr>
          <w:b/>
          <w:bCs/>
          <w:lang w:val="es-ES"/>
        </w:rPr>
        <w:t xml:space="preserve">Evaluación de las estaciones de la GBON existentes </w:t>
      </w:r>
      <w:r w:rsidR="00E10216">
        <w:rPr>
          <w:b/>
          <w:bCs/>
          <w:lang w:val="es-ES"/>
        </w:rPr>
        <w:br/>
      </w:r>
      <w:r>
        <w:rPr>
          <w:b/>
          <w:bCs/>
          <w:lang w:val="es-ES"/>
        </w:rPr>
        <w:t>por variable y ciclo de presentación de informes</w:t>
      </w:r>
    </w:p>
    <w:tbl>
      <w:tblPr>
        <w:tblStyle w:val="TableGrid1"/>
        <w:tblW w:w="5000" w:type="pct"/>
        <w:tblLayout w:type="fixed"/>
        <w:tblLook w:val="04A0" w:firstRow="1" w:lastRow="0" w:firstColumn="1" w:lastColumn="0" w:noHBand="0" w:noVBand="1"/>
      </w:tblPr>
      <w:tblGrid>
        <w:gridCol w:w="1124"/>
        <w:gridCol w:w="1134"/>
        <w:gridCol w:w="1779"/>
        <w:gridCol w:w="585"/>
        <w:gridCol w:w="367"/>
        <w:gridCol w:w="371"/>
        <w:gridCol w:w="414"/>
        <w:gridCol w:w="369"/>
        <w:gridCol w:w="508"/>
        <w:gridCol w:w="1562"/>
        <w:gridCol w:w="1406"/>
      </w:tblGrid>
      <w:tr w:rsidR="00400145" w:rsidRPr="00AE4BEE" w14:paraId="03FDC575" w14:textId="77777777" w:rsidTr="00E10216">
        <w:trPr>
          <w:trHeight w:val="466"/>
        </w:trPr>
        <w:tc>
          <w:tcPr>
            <w:tcW w:w="584" w:type="pct"/>
            <w:vMerge w:val="restart"/>
            <w:tcBorders>
              <w:top w:val="single" w:sz="8" w:space="0" w:color="BFBFBF"/>
              <w:left w:val="single" w:sz="8" w:space="0" w:color="BFBFBF"/>
              <w:bottom w:val="single" w:sz="8" w:space="0" w:color="BFBFBF"/>
              <w:right w:val="single" w:sz="8" w:space="0" w:color="BFBFBF"/>
            </w:tcBorders>
            <w:shd w:val="clear" w:color="auto" w:fill="auto"/>
            <w:vAlign w:val="center"/>
          </w:tcPr>
          <w:p w14:paraId="32BAE84D" w14:textId="77777777" w:rsidR="00E142D9" w:rsidRPr="001B61BB" w:rsidRDefault="00E142D9" w:rsidP="00C90BAB">
            <w:pPr>
              <w:keepNext/>
              <w:keepLines/>
              <w:spacing w:before="60" w:after="60"/>
              <w:jc w:val="center"/>
              <w:rPr>
                <w:sz w:val="20"/>
                <w:szCs w:val="20"/>
              </w:rPr>
            </w:pPr>
            <w:r w:rsidRPr="001B61BB">
              <w:rPr>
                <w:sz w:val="20"/>
                <w:szCs w:val="20"/>
                <w:lang w:val="es-ES"/>
              </w:rPr>
              <w:t>Nombre de la estación</w:t>
            </w:r>
          </w:p>
        </w:tc>
        <w:tc>
          <w:tcPr>
            <w:tcW w:w="589" w:type="pct"/>
            <w:vMerge w:val="restart"/>
            <w:tcBorders>
              <w:top w:val="single" w:sz="8" w:space="0" w:color="BFBFBF"/>
              <w:left w:val="single" w:sz="8" w:space="0" w:color="BFBFBF"/>
              <w:bottom w:val="single" w:sz="8" w:space="0" w:color="BFBFBF"/>
              <w:right w:val="single" w:sz="8" w:space="0" w:color="BFBFBF"/>
            </w:tcBorders>
            <w:shd w:val="clear" w:color="auto" w:fill="auto"/>
            <w:vAlign w:val="center"/>
          </w:tcPr>
          <w:p w14:paraId="476EA751" w14:textId="77777777" w:rsidR="00E142D9" w:rsidRPr="001B61BB" w:rsidRDefault="00E142D9" w:rsidP="00C90BAB">
            <w:pPr>
              <w:keepNext/>
              <w:keepLines/>
              <w:spacing w:before="60" w:after="60"/>
              <w:jc w:val="center"/>
              <w:rPr>
                <w:sz w:val="20"/>
                <w:szCs w:val="20"/>
                <w:lang w:val="es-ES"/>
              </w:rPr>
            </w:pPr>
            <w:r w:rsidRPr="001B61BB">
              <w:rPr>
                <w:sz w:val="20"/>
                <w:szCs w:val="20"/>
                <w:lang w:val="es-ES"/>
              </w:rPr>
              <w:t>Tipo de estación (S/A/M)</w:t>
            </w:r>
          </w:p>
        </w:tc>
        <w:tc>
          <w:tcPr>
            <w:tcW w:w="924" w:type="pct"/>
            <w:vMerge w:val="restart"/>
            <w:tcBorders>
              <w:top w:val="single" w:sz="8" w:space="0" w:color="BFBFBF"/>
              <w:left w:val="single" w:sz="8" w:space="0" w:color="BFBFBF"/>
              <w:right w:val="single" w:sz="8" w:space="0" w:color="BFBFBF"/>
            </w:tcBorders>
            <w:shd w:val="clear" w:color="auto" w:fill="auto"/>
            <w:vAlign w:val="center"/>
          </w:tcPr>
          <w:p w14:paraId="7B15A3FE" w14:textId="11F11834" w:rsidR="00E142D9" w:rsidRPr="001B61BB" w:rsidRDefault="00E142D9" w:rsidP="00C90BAB">
            <w:pPr>
              <w:keepNext/>
              <w:keepLines/>
              <w:spacing w:before="60" w:after="60"/>
              <w:ind w:left="-162" w:right="-33"/>
              <w:jc w:val="center"/>
              <w:rPr>
                <w:sz w:val="20"/>
                <w:szCs w:val="20"/>
              </w:rPr>
            </w:pPr>
            <w:r w:rsidRPr="001B61BB">
              <w:rPr>
                <w:sz w:val="20"/>
                <w:szCs w:val="20"/>
                <w:lang w:val="es-ES"/>
              </w:rPr>
              <w:t>Propietario (SMHN/Tercero)</w:t>
            </w:r>
          </w:p>
        </w:tc>
        <w:tc>
          <w:tcPr>
            <w:tcW w:w="1359" w:type="pct"/>
            <w:gridSpan w:val="6"/>
            <w:tcBorders>
              <w:top w:val="single" w:sz="8" w:space="0" w:color="BFBFBF"/>
              <w:left w:val="single" w:sz="8" w:space="0" w:color="BFBFBF"/>
              <w:bottom w:val="single" w:sz="8" w:space="0" w:color="BFBFBF"/>
              <w:right w:val="single" w:sz="8" w:space="0" w:color="BFBFBF"/>
            </w:tcBorders>
            <w:shd w:val="clear" w:color="auto" w:fill="auto"/>
            <w:vAlign w:val="center"/>
          </w:tcPr>
          <w:p w14:paraId="084131C0" w14:textId="77777777" w:rsidR="00E142D9" w:rsidRPr="001B61BB" w:rsidRDefault="00E142D9" w:rsidP="00C90BAB">
            <w:pPr>
              <w:keepNext/>
              <w:keepLines/>
              <w:spacing w:before="60" w:after="60"/>
              <w:jc w:val="center"/>
              <w:rPr>
                <w:sz w:val="20"/>
                <w:szCs w:val="20"/>
                <w:lang w:val="es-ES"/>
              </w:rPr>
            </w:pPr>
            <w:r w:rsidRPr="001B61BB">
              <w:rPr>
                <w:sz w:val="20"/>
                <w:szCs w:val="20"/>
                <w:lang w:val="es-ES"/>
              </w:rPr>
              <w:t>Variable de la GBON medida</w:t>
            </w:r>
          </w:p>
        </w:tc>
        <w:tc>
          <w:tcPr>
            <w:tcW w:w="812" w:type="pct"/>
            <w:vMerge w:val="restart"/>
            <w:tcBorders>
              <w:top w:val="single" w:sz="8" w:space="0" w:color="BFBFBF"/>
              <w:left w:val="single" w:sz="8" w:space="0" w:color="BFBFBF"/>
              <w:right w:val="single" w:sz="8" w:space="0" w:color="BFBFBF"/>
            </w:tcBorders>
            <w:shd w:val="clear" w:color="auto" w:fill="auto"/>
            <w:vAlign w:val="center"/>
          </w:tcPr>
          <w:p w14:paraId="52AC8012" w14:textId="3D2C2339" w:rsidR="00E142D9" w:rsidRPr="001B61BB" w:rsidRDefault="00E142D9" w:rsidP="00C90BAB">
            <w:pPr>
              <w:keepNext/>
              <w:keepLines/>
              <w:spacing w:before="60" w:after="60"/>
              <w:jc w:val="center"/>
              <w:rPr>
                <w:sz w:val="20"/>
                <w:szCs w:val="20"/>
                <w:lang w:val="es-ES"/>
              </w:rPr>
            </w:pPr>
            <w:r w:rsidRPr="001B61BB">
              <w:rPr>
                <w:sz w:val="20"/>
                <w:szCs w:val="20"/>
                <w:lang w:val="es-ES"/>
              </w:rPr>
              <w:t>Ciclo de presentación de informes</w:t>
            </w:r>
          </w:p>
        </w:tc>
        <w:tc>
          <w:tcPr>
            <w:tcW w:w="731" w:type="pct"/>
            <w:vMerge w:val="restart"/>
            <w:tcBorders>
              <w:top w:val="single" w:sz="8" w:space="0" w:color="BFBFBF"/>
              <w:left w:val="single" w:sz="8" w:space="0" w:color="BFBFBF"/>
              <w:right w:val="single" w:sz="8" w:space="0" w:color="BFBFBF"/>
            </w:tcBorders>
            <w:shd w:val="clear" w:color="auto" w:fill="auto"/>
            <w:vAlign w:val="center"/>
          </w:tcPr>
          <w:p w14:paraId="3EBA167E" w14:textId="3CEB8886" w:rsidR="00E142D9" w:rsidRPr="001B61BB" w:rsidRDefault="00E142D9" w:rsidP="00C90BAB">
            <w:pPr>
              <w:keepNext/>
              <w:keepLines/>
              <w:spacing w:before="60" w:after="60"/>
              <w:jc w:val="center"/>
              <w:rPr>
                <w:sz w:val="20"/>
                <w:szCs w:val="20"/>
                <w:lang w:val="es-ES"/>
              </w:rPr>
            </w:pPr>
            <w:r w:rsidRPr="001B61BB">
              <w:rPr>
                <w:sz w:val="20"/>
                <w:szCs w:val="20"/>
                <w:lang w:val="es-ES"/>
              </w:rPr>
              <w:t>Conforme con la GBON (Sí/No)</w:t>
            </w:r>
          </w:p>
        </w:tc>
      </w:tr>
      <w:tr w:rsidR="00400145" w:rsidRPr="001B61BB" w14:paraId="18211A57" w14:textId="77777777" w:rsidTr="00E10216">
        <w:trPr>
          <w:trHeight w:val="416"/>
        </w:trPr>
        <w:tc>
          <w:tcPr>
            <w:tcW w:w="584" w:type="pct"/>
            <w:vMerge/>
            <w:shd w:val="clear" w:color="auto" w:fill="auto"/>
            <w:vAlign w:val="center"/>
          </w:tcPr>
          <w:p w14:paraId="398CB946" w14:textId="77777777" w:rsidR="00E142D9" w:rsidRPr="001B61BB" w:rsidRDefault="00E142D9" w:rsidP="0059699A">
            <w:pPr>
              <w:keepNext/>
              <w:keepLines/>
              <w:spacing w:before="60" w:after="60"/>
              <w:rPr>
                <w:sz w:val="20"/>
                <w:szCs w:val="20"/>
                <w:lang w:val="es-ES"/>
              </w:rPr>
            </w:pPr>
          </w:p>
        </w:tc>
        <w:tc>
          <w:tcPr>
            <w:tcW w:w="589" w:type="pct"/>
            <w:vMerge/>
            <w:tcBorders>
              <w:right w:val="single" w:sz="8" w:space="0" w:color="BFBFBF"/>
            </w:tcBorders>
            <w:shd w:val="clear" w:color="auto" w:fill="auto"/>
            <w:vAlign w:val="center"/>
          </w:tcPr>
          <w:p w14:paraId="66AC8CDE" w14:textId="77777777" w:rsidR="00E142D9" w:rsidRPr="001B61BB" w:rsidRDefault="00E142D9" w:rsidP="0059699A">
            <w:pPr>
              <w:keepNext/>
              <w:keepLines/>
              <w:spacing w:before="60" w:after="60"/>
              <w:rPr>
                <w:sz w:val="20"/>
                <w:szCs w:val="20"/>
                <w:lang w:val="es-ES"/>
              </w:rPr>
            </w:pPr>
          </w:p>
        </w:tc>
        <w:tc>
          <w:tcPr>
            <w:tcW w:w="924" w:type="pct"/>
            <w:vMerge/>
            <w:tcBorders>
              <w:left w:val="single" w:sz="8" w:space="0" w:color="BFBFBF"/>
              <w:right w:val="single" w:sz="8" w:space="0" w:color="BFBFBF"/>
            </w:tcBorders>
            <w:shd w:val="clear" w:color="auto" w:fill="auto"/>
          </w:tcPr>
          <w:p w14:paraId="04A503B5" w14:textId="77777777" w:rsidR="00E142D9" w:rsidRPr="001B61BB" w:rsidRDefault="00E142D9" w:rsidP="0059699A">
            <w:pPr>
              <w:keepNext/>
              <w:keepLines/>
              <w:spacing w:before="60" w:after="60"/>
              <w:rPr>
                <w:sz w:val="20"/>
                <w:szCs w:val="20"/>
                <w:lang w:val="es-ES"/>
              </w:rPr>
            </w:pPr>
          </w:p>
        </w:tc>
        <w:tc>
          <w:tcPr>
            <w:tcW w:w="304" w:type="pct"/>
            <w:tcBorders>
              <w:top w:val="single" w:sz="8" w:space="0" w:color="BFBFBF"/>
              <w:left w:val="single" w:sz="8" w:space="0" w:color="BFBFBF"/>
              <w:bottom w:val="single" w:sz="8" w:space="0" w:color="BFBFBF"/>
              <w:right w:val="single" w:sz="8" w:space="0" w:color="BFBFBF"/>
            </w:tcBorders>
            <w:shd w:val="clear" w:color="auto" w:fill="auto"/>
            <w:vAlign w:val="center"/>
          </w:tcPr>
          <w:p w14:paraId="498BEF2D" w14:textId="77777777" w:rsidR="00E142D9" w:rsidRPr="001B61BB" w:rsidRDefault="00211320" w:rsidP="0059699A">
            <w:pPr>
              <w:keepNext/>
              <w:keepLines/>
              <w:spacing w:before="60" w:after="60"/>
              <w:rPr>
                <w:sz w:val="20"/>
                <w:szCs w:val="20"/>
              </w:rPr>
            </w:pPr>
            <w:r w:rsidRPr="001B61BB">
              <w:rPr>
                <w:sz w:val="20"/>
                <w:szCs w:val="20"/>
                <w:lang w:val="es-ES"/>
              </w:rPr>
              <w:t>SLP</w:t>
            </w:r>
          </w:p>
        </w:tc>
        <w:tc>
          <w:tcPr>
            <w:tcW w:w="191" w:type="pct"/>
            <w:tcBorders>
              <w:top w:val="single" w:sz="8" w:space="0" w:color="BFBFBF"/>
              <w:left w:val="single" w:sz="8" w:space="0" w:color="BFBFBF"/>
              <w:bottom w:val="single" w:sz="8" w:space="0" w:color="BFBFBF"/>
              <w:right w:val="single" w:sz="8" w:space="0" w:color="BFBFBF"/>
            </w:tcBorders>
            <w:shd w:val="clear" w:color="auto" w:fill="auto"/>
            <w:vAlign w:val="center"/>
          </w:tcPr>
          <w:p w14:paraId="18636293" w14:textId="77777777" w:rsidR="00E142D9" w:rsidRPr="001B61BB" w:rsidRDefault="00E142D9" w:rsidP="0059699A">
            <w:pPr>
              <w:keepNext/>
              <w:keepLines/>
              <w:spacing w:before="60" w:after="60"/>
              <w:rPr>
                <w:sz w:val="20"/>
                <w:szCs w:val="20"/>
              </w:rPr>
            </w:pPr>
            <w:r w:rsidRPr="001B61BB">
              <w:rPr>
                <w:sz w:val="20"/>
                <w:szCs w:val="20"/>
                <w:lang w:val="es-ES"/>
              </w:rPr>
              <w:t>T</w:t>
            </w:r>
          </w:p>
        </w:tc>
        <w:tc>
          <w:tcPr>
            <w:tcW w:w="193" w:type="pct"/>
            <w:tcBorders>
              <w:top w:val="single" w:sz="8" w:space="0" w:color="BFBFBF"/>
              <w:left w:val="single" w:sz="8" w:space="0" w:color="BFBFBF"/>
              <w:bottom w:val="single" w:sz="8" w:space="0" w:color="BFBFBF"/>
              <w:right w:val="single" w:sz="8" w:space="0" w:color="BFBFBF"/>
            </w:tcBorders>
            <w:shd w:val="clear" w:color="auto" w:fill="auto"/>
            <w:vAlign w:val="center"/>
          </w:tcPr>
          <w:p w14:paraId="37C950FC" w14:textId="77777777" w:rsidR="00E142D9" w:rsidRPr="001B61BB" w:rsidRDefault="00E142D9" w:rsidP="0059699A">
            <w:pPr>
              <w:keepNext/>
              <w:keepLines/>
              <w:spacing w:before="60" w:after="60"/>
              <w:rPr>
                <w:sz w:val="20"/>
                <w:szCs w:val="20"/>
              </w:rPr>
            </w:pPr>
            <w:r w:rsidRPr="001B61BB">
              <w:rPr>
                <w:sz w:val="20"/>
                <w:szCs w:val="20"/>
                <w:lang w:val="es-ES"/>
              </w:rPr>
              <w:t>H</w:t>
            </w:r>
          </w:p>
        </w:tc>
        <w:tc>
          <w:tcPr>
            <w:tcW w:w="215" w:type="pct"/>
            <w:tcBorders>
              <w:top w:val="single" w:sz="8" w:space="0" w:color="BFBFBF"/>
              <w:left w:val="single" w:sz="8" w:space="0" w:color="BFBFBF"/>
              <w:bottom w:val="single" w:sz="8" w:space="0" w:color="BFBFBF"/>
              <w:right w:val="single" w:sz="8" w:space="0" w:color="BFBFBF"/>
            </w:tcBorders>
            <w:shd w:val="clear" w:color="auto" w:fill="auto"/>
            <w:vAlign w:val="center"/>
          </w:tcPr>
          <w:p w14:paraId="41349423" w14:textId="77777777" w:rsidR="00E142D9" w:rsidRPr="001B61BB" w:rsidRDefault="00E142D9" w:rsidP="0059699A">
            <w:pPr>
              <w:keepNext/>
              <w:keepLines/>
              <w:spacing w:before="60" w:after="60"/>
              <w:rPr>
                <w:sz w:val="20"/>
                <w:szCs w:val="20"/>
              </w:rPr>
            </w:pPr>
            <w:r w:rsidRPr="001B61BB">
              <w:rPr>
                <w:sz w:val="20"/>
                <w:szCs w:val="20"/>
                <w:lang w:val="es-ES"/>
              </w:rPr>
              <w:t>W</w:t>
            </w:r>
          </w:p>
        </w:tc>
        <w:tc>
          <w:tcPr>
            <w:tcW w:w="192" w:type="pct"/>
            <w:tcBorders>
              <w:top w:val="single" w:sz="8" w:space="0" w:color="BFBFBF"/>
              <w:left w:val="single" w:sz="8" w:space="0" w:color="BFBFBF"/>
              <w:bottom w:val="single" w:sz="8" w:space="0" w:color="BFBFBF"/>
              <w:right w:val="single" w:sz="8" w:space="0" w:color="BFBFBF"/>
            </w:tcBorders>
            <w:shd w:val="clear" w:color="auto" w:fill="auto"/>
            <w:vAlign w:val="center"/>
          </w:tcPr>
          <w:p w14:paraId="1923CC39" w14:textId="77777777" w:rsidR="00E142D9" w:rsidRPr="001B61BB" w:rsidRDefault="00E142D9" w:rsidP="0059699A">
            <w:pPr>
              <w:keepNext/>
              <w:keepLines/>
              <w:spacing w:before="60" w:after="60"/>
              <w:rPr>
                <w:sz w:val="20"/>
                <w:szCs w:val="20"/>
              </w:rPr>
            </w:pPr>
            <w:r w:rsidRPr="001B61BB">
              <w:rPr>
                <w:sz w:val="20"/>
                <w:szCs w:val="20"/>
                <w:lang w:val="es-ES"/>
              </w:rPr>
              <w:t>P</w:t>
            </w:r>
          </w:p>
        </w:tc>
        <w:tc>
          <w:tcPr>
            <w:tcW w:w="264" w:type="pct"/>
            <w:tcBorders>
              <w:top w:val="single" w:sz="8" w:space="0" w:color="BFBFBF"/>
              <w:left w:val="single" w:sz="8" w:space="0" w:color="BFBFBF"/>
              <w:bottom w:val="single" w:sz="8" w:space="0" w:color="BFBFBF"/>
              <w:right w:val="single" w:sz="8" w:space="0" w:color="BFBFBF"/>
            </w:tcBorders>
            <w:shd w:val="clear" w:color="auto" w:fill="auto"/>
            <w:vAlign w:val="center"/>
          </w:tcPr>
          <w:p w14:paraId="0D5E6174" w14:textId="77777777" w:rsidR="00E142D9" w:rsidRPr="001B61BB" w:rsidRDefault="00E142D9" w:rsidP="0059699A">
            <w:pPr>
              <w:keepNext/>
              <w:keepLines/>
              <w:spacing w:before="60" w:after="60"/>
              <w:rPr>
                <w:sz w:val="20"/>
                <w:szCs w:val="20"/>
              </w:rPr>
            </w:pPr>
            <w:r w:rsidRPr="001B61BB">
              <w:rPr>
                <w:sz w:val="20"/>
                <w:szCs w:val="20"/>
                <w:lang w:val="es-ES"/>
              </w:rPr>
              <w:t>SD</w:t>
            </w:r>
          </w:p>
        </w:tc>
        <w:tc>
          <w:tcPr>
            <w:tcW w:w="812" w:type="pct"/>
            <w:vMerge/>
            <w:tcBorders>
              <w:left w:val="single" w:sz="8" w:space="0" w:color="BFBFBF"/>
              <w:right w:val="single" w:sz="8" w:space="0" w:color="BFBFBF"/>
            </w:tcBorders>
            <w:shd w:val="clear" w:color="auto" w:fill="auto"/>
            <w:vAlign w:val="center"/>
          </w:tcPr>
          <w:p w14:paraId="78CD6233" w14:textId="77777777" w:rsidR="00E142D9" w:rsidRPr="001B61BB" w:rsidRDefault="00E142D9" w:rsidP="0059699A">
            <w:pPr>
              <w:keepNext/>
              <w:keepLines/>
              <w:spacing w:before="60" w:after="60"/>
              <w:rPr>
                <w:sz w:val="20"/>
                <w:szCs w:val="20"/>
              </w:rPr>
            </w:pPr>
          </w:p>
        </w:tc>
        <w:tc>
          <w:tcPr>
            <w:tcW w:w="731" w:type="pct"/>
            <w:vMerge/>
            <w:tcBorders>
              <w:left w:val="single" w:sz="8" w:space="0" w:color="BFBFBF"/>
              <w:right w:val="single" w:sz="8" w:space="0" w:color="BFBFBF"/>
            </w:tcBorders>
            <w:shd w:val="clear" w:color="auto" w:fill="auto"/>
          </w:tcPr>
          <w:p w14:paraId="7A3D2E2B" w14:textId="77777777" w:rsidR="00E142D9" w:rsidRPr="001B61BB" w:rsidRDefault="00E142D9" w:rsidP="0059699A">
            <w:pPr>
              <w:keepNext/>
              <w:keepLines/>
              <w:spacing w:before="60" w:after="60"/>
              <w:rPr>
                <w:sz w:val="20"/>
                <w:szCs w:val="20"/>
              </w:rPr>
            </w:pPr>
          </w:p>
        </w:tc>
      </w:tr>
      <w:tr w:rsidR="00400145" w:rsidRPr="001B61BB" w14:paraId="04A01F9E" w14:textId="77777777" w:rsidTr="00E10216">
        <w:trPr>
          <w:trHeight w:val="126"/>
        </w:trPr>
        <w:tc>
          <w:tcPr>
            <w:tcW w:w="584" w:type="pct"/>
            <w:tcBorders>
              <w:top w:val="single" w:sz="8" w:space="0" w:color="BFBFBF"/>
              <w:left w:val="single" w:sz="8" w:space="0" w:color="BFBFBF"/>
              <w:bottom w:val="single" w:sz="8" w:space="0" w:color="BFBFBF"/>
              <w:right w:val="single" w:sz="8" w:space="0" w:color="BFBFBF"/>
            </w:tcBorders>
            <w:shd w:val="clear" w:color="auto" w:fill="auto"/>
          </w:tcPr>
          <w:p w14:paraId="48FC32AD" w14:textId="77777777" w:rsidR="00E142D9" w:rsidRPr="001B61BB" w:rsidRDefault="00E142D9" w:rsidP="0059699A">
            <w:pPr>
              <w:keepNext/>
              <w:keepLines/>
              <w:spacing w:before="60" w:after="60"/>
              <w:rPr>
                <w:rFonts w:eastAsia="Calibri"/>
                <w:smallCaps/>
                <w:sz w:val="20"/>
                <w:szCs w:val="20"/>
              </w:rPr>
            </w:pPr>
          </w:p>
        </w:tc>
        <w:tc>
          <w:tcPr>
            <w:tcW w:w="589" w:type="pct"/>
            <w:tcBorders>
              <w:top w:val="single" w:sz="8" w:space="0" w:color="BFBFBF"/>
              <w:left w:val="single" w:sz="8" w:space="0" w:color="BFBFBF"/>
              <w:bottom w:val="single" w:sz="8" w:space="0" w:color="BFBFBF"/>
              <w:right w:val="single" w:sz="8" w:space="0" w:color="BFBFBF"/>
            </w:tcBorders>
            <w:shd w:val="clear" w:color="auto" w:fill="auto"/>
          </w:tcPr>
          <w:p w14:paraId="0E310419" w14:textId="77777777" w:rsidR="00E142D9" w:rsidRPr="001B61BB" w:rsidRDefault="00E142D9" w:rsidP="0059699A">
            <w:pPr>
              <w:keepNext/>
              <w:keepLines/>
              <w:spacing w:before="60" w:after="60"/>
              <w:jc w:val="center"/>
              <w:rPr>
                <w:rFonts w:eastAsia="Segoe UI" w:cs="Segoe UI"/>
                <w:sz w:val="20"/>
                <w:szCs w:val="20"/>
              </w:rPr>
            </w:pPr>
          </w:p>
        </w:tc>
        <w:tc>
          <w:tcPr>
            <w:tcW w:w="924" w:type="pct"/>
            <w:tcBorders>
              <w:top w:val="single" w:sz="8" w:space="0" w:color="BFBFBF"/>
              <w:left w:val="single" w:sz="8" w:space="0" w:color="BFBFBF"/>
              <w:bottom w:val="single" w:sz="8" w:space="0" w:color="BFBFBF"/>
              <w:right w:val="single" w:sz="8" w:space="0" w:color="BFBFBF"/>
            </w:tcBorders>
            <w:shd w:val="clear" w:color="auto" w:fill="auto"/>
          </w:tcPr>
          <w:p w14:paraId="0976E01E" w14:textId="77777777" w:rsidR="00E142D9" w:rsidRPr="001B61BB" w:rsidRDefault="00E142D9" w:rsidP="0059699A">
            <w:pPr>
              <w:keepNext/>
              <w:keepLines/>
              <w:spacing w:before="60" w:after="60"/>
              <w:jc w:val="center"/>
              <w:rPr>
                <w:rFonts w:eastAsia="Calibri"/>
                <w:sz w:val="20"/>
                <w:szCs w:val="20"/>
              </w:rPr>
            </w:pPr>
          </w:p>
        </w:tc>
        <w:tc>
          <w:tcPr>
            <w:tcW w:w="304" w:type="pct"/>
            <w:tcBorders>
              <w:top w:val="single" w:sz="8" w:space="0" w:color="BFBFBF"/>
              <w:left w:val="single" w:sz="8" w:space="0" w:color="BFBFBF"/>
              <w:bottom w:val="single" w:sz="8" w:space="0" w:color="BFBFBF"/>
              <w:right w:val="single" w:sz="8" w:space="0" w:color="BFBFBF"/>
            </w:tcBorders>
            <w:shd w:val="clear" w:color="auto" w:fill="auto"/>
          </w:tcPr>
          <w:p w14:paraId="308098BF" w14:textId="77777777" w:rsidR="00E142D9" w:rsidRPr="001B61BB" w:rsidRDefault="00E142D9" w:rsidP="0059699A">
            <w:pPr>
              <w:keepNext/>
              <w:keepLines/>
              <w:spacing w:before="60" w:after="60"/>
              <w:jc w:val="center"/>
              <w:rPr>
                <w:rFonts w:eastAsia="Calibri"/>
                <w:sz w:val="20"/>
                <w:szCs w:val="20"/>
              </w:rPr>
            </w:pPr>
          </w:p>
        </w:tc>
        <w:tc>
          <w:tcPr>
            <w:tcW w:w="191" w:type="pct"/>
            <w:tcBorders>
              <w:top w:val="single" w:sz="8" w:space="0" w:color="BFBFBF"/>
              <w:left w:val="single" w:sz="8" w:space="0" w:color="BFBFBF"/>
              <w:bottom w:val="single" w:sz="8" w:space="0" w:color="BFBFBF"/>
              <w:right w:val="single" w:sz="8" w:space="0" w:color="BFBFBF"/>
            </w:tcBorders>
            <w:shd w:val="clear" w:color="auto" w:fill="auto"/>
          </w:tcPr>
          <w:p w14:paraId="5070938E" w14:textId="77777777" w:rsidR="00E142D9" w:rsidRPr="001B61BB" w:rsidRDefault="00E142D9" w:rsidP="0059699A">
            <w:pPr>
              <w:keepNext/>
              <w:keepLines/>
              <w:spacing w:before="60" w:after="60"/>
              <w:jc w:val="center"/>
              <w:rPr>
                <w:rFonts w:eastAsia="Segoe UI" w:cs="Segoe UI"/>
                <w:sz w:val="20"/>
                <w:szCs w:val="20"/>
              </w:rPr>
            </w:pPr>
          </w:p>
        </w:tc>
        <w:tc>
          <w:tcPr>
            <w:tcW w:w="193" w:type="pct"/>
            <w:tcBorders>
              <w:top w:val="single" w:sz="8" w:space="0" w:color="BFBFBF"/>
              <w:left w:val="single" w:sz="8" w:space="0" w:color="BFBFBF"/>
              <w:bottom w:val="single" w:sz="8" w:space="0" w:color="BFBFBF"/>
              <w:right w:val="single" w:sz="8" w:space="0" w:color="BFBFBF"/>
            </w:tcBorders>
            <w:shd w:val="clear" w:color="auto" w:fill="auto"/>
          </w:tcPr>
          <w:p w14:paraId="09D982F5" w14:textId="77777777" w:rsidR="00E142D9" w:rsidRPr="001B61BB" w:rsidRDefault="00E142D9" w:rsidP="0059699A">
            <w:pPr>
              <w:keepNext/>
              <w:keepLines/>
              <w:spacing w:before="60" w:after="60"/>
              <w:jc w:val="center"/>
              <w:rPr>
                <w:rFonts w:eastAsia="Segoe UI" w:cs="Segoe UI"/>
                <w:sz w:val="20"/>
                <w:szCs w:val="20"/>
              </w:rPr>
            </w:pPr>
          </w:p>
        </w:tc>
        <w:tc>
          <w:tcPr>
            <w:tcW w:w="215" w:type="pct"/>
            <w:tcBorders>
              <w:top w:val="single" w:sz="8" w:space="0" w:color="BFBFBF"/>
              <w:left w:val="single" w:sz="8" w:space="0" w:color="BFBFBF"/>
              <w:bottom w:val="single" w:sz="8" w:space="0" w:color="BFBFBF"/>
              <w:right w:val="single" w:sz="8" w:space="0" w:color="BFBFBF"/>
            </w:tcBorders>
            <w:shd w:val="clear" w:color="auto" w:fill="auto"/>
          </w:tcPr>
          <w:p w14:paraId="7881B8B5" w14:textId="77777777" w:rsidR="00E142D9" w:rsidRPr="001B61BB" w:rsidRDefault="00E142D9" w:rsidP="0059699A">
            <w:pPr>
              <w:keepNext/>
              <w:keepLines/>
              <w:spacing w:before="60" w:after="60"/>
              <w:jc w:val="center"/>
              <w:rPr>
                <w:rFonts w:eastAsia="Segoe UI" w:cs="Segoe UI"/>
                <w:sz w:val="20"/>
                <w:szCs w:val="20"/>
              </w:rPr>
            </w:pPr>
          </w:p>
        </w:tc>
        <w:tc>
          <w:tcPr>
            <w:tcW w:w="192" w:type="pct"/>
            <w:tcBorders>
              <w:top w:val="single" w:sz="8" w:space="0" w:color="BFBFBF"/>
              <w:left w:val="single" w:sz="8" w:space="0" w:color="BFBFBF"/>
              <w:bottom w:val="single" w:sz="8" w:space="0" w:color="BFBFBF"/>
              <w:right w:val="single" w:sz="8" w:space="0" w:color="BFBFBF"/>
            </w:tcBorders>
            <w:shd w:val="clear" w:color="auto" w:fill="auto"/>
          </w:tcPr>
          <w:p w14:paraId="2397F171" w14:textId="77777777" w:rsidR="00E142D9" w:rsidRPr="001B61BB" w:rsidRDefault="00E142D9" w:rsidP="0059699A">
            <w:pPr>
              <w:keepNext/>
              <w:keepLines/>
              <w:spacing w:before="60" w:after="60"/>
              <w:jc w:val="center"/>
              <w:rPr>
                <w:rFonts w:eastAsia="Segoe UI" w:cs="Segoe UI"/>
                <w:sz w:val="20"/>
                <w:szCs w:val="20"/>
              </w:rPr>
            </w:pPr>
          </w:p>
        </w:tc>
        <w:tc>
          <w:tcPr>
            <w:tcW w:w="264" w:type="pct"/>
            <w:tcBorders>
              <w:top w:val="single" w:sz="8" w:space="0" w:color="BFBFBF"/>
              <w:left w:val="single" w:sz="8" w:space="0" w:color="BFBFBF"/>
              <w:bottom w:val="single" w:sz="8" w:space="0" w:color="BFBFBF"/>
              <w:right w:val="single" w:sz="8" w:space="0" w:color="BFBFBF"/>
            </w:tcBorders>
            <w:shd w:val="clear" w:color="auto" w:fill="auto"/>
          </w:tcPr>
          <w:p w14:paraId="17162EEE" w14:textId="77777777" w:rsidR="00E142D9" w:rsidRPr="001B61BB" w:rsidRDefault="00E142D9" w:rsidP="0059699A">
            <w:pPr>
              <w:keepNext/>
              <w:keepLines/>
              <w:spacing w:before="60" w:after="60"/>
              <w:jc w:val="center"/>
              <w:rPr>
                <w:rFonts w:eastAsia="Segoe UI" w:cs="Segoe UI"/>
                <w:sz w:val="20"/>
                <w:szCs w:val="20"/>
              </w:rPr>
            </w:pPr>
          </w:p>
        </w:tc>
        <w:tc>
          <w:tcPr>
            <w:tcW w:w="812" w:type="pct"/>
            <w:tcBorders>
              <w:top w:val="single" w:sz="8" w:space="0" w:color="BFBFBF"/>
              <w:left w:val="single" w:sz="8" w:space="0" w:color="BFBFBF"/>
              <w:bottom w:val="single" w:sz="8" w:space="0" w:color="BFBFBF"/>
              <w:right w:val="single" w:sz="8" w:space="0" w:color="BFBFBF"/>
            </w:tcBorders>
            <w:shd w:val="clear" w:color="auto" w:fill="auto"/>
          </w:tcPr>
          <w:p w14:paraId="491320C0" w14:textId="77777777" w:rsidR="00E142D9" w:rsidRPr="001B61BB" w:rsidRDefault="00E142D9" w:rsidP="0059699A">
            <w:pPr>
              <w:keepNext/>
              <w:keepLines/>
              <w:spacing w:before="60" w:after="60"/>
              <w:jc w:val="center"/>
              <w:rPr>
                <w:rFonts w:eastAsia="Segoe UI" w:cs="Segoe UI"/>
                <w:sz w:val="20"/>
                <w:szCs w:val="20"/>
              </w:rPr>
            </w:pPr>
          </w:p>
        </w:tc>
        <w:tc>
          <w:tcPr>
            <w:tcW w:w="731" w:type="pct"/>
            <w:tcBorders>
              <w:top w:val="single" w:sz="8" w:space="0" w:color="BFBFBF"/>
              <w:left w:val="single" w:sz="8" w:space="0" w:color="BFBFBF"/>
              <w:bottom w:val="single" w:sz="8" w:space="0" w:color="BFBFBF"/>
              <w:right w:val="single" w:sz="8" w:space="0" w:color="BFBFBF"/>
            </w:tcBorders>
            <w:shd w:val="clear" w:color="auto" w:fill="auto"/>
          </w:tcPr>
          <w:p w14:paraId="7DDC39BE" w14:textId="77777777" w:rsidR="00E142D9" w:rsidRPr="001B61BB" w:rsidRDefault="00E142D9" w:rsidP="0059699A">
            <w:pPr>
              <w:keepNext/>
              <w:keepLines/>
              <w:spacing w:before="60" w:after="60"/>
              <w:jc w:val="center"/>
              <w:rPr>
                <w:rFonts w:eastAsia="Segoe UI" w:cs="Segoe UI"/>
                <w:sz w:val="20"/>
                <w:szCs w:val="20"/>
              </w:rPr>
            </w:pPr>
          </w:p>
        </w:tc>
      </w:tr>
      <w:tr w:rsidR="00400145" w:rsidRPr="001B61BB" w14:paraId="23A1DA60" w14:textId="77777777" w:rsidTr="00E10216">
        <w:trPr>
          <w:trHeight w:val="31"/>
        </w:trPr>
        <w:tc>
          <w:tcPr>
            <w:tcW w:w="584" w:type="pct"/>
            <w:tcBorders>
              <w:top w:val="single" w:sz="8" w:space="0" w:color="BFBFBF"/>
              <w:left w:val="single" w:sz="8" w:space="0" w:color="BFBFBF"/>
              <w:bottom w:val="single" w:sz="8" w:space="0" w:color="BFBFBF"/>
              <w:right w:val="single" w:sz="8" w:space="0" w:color="BFBFBF"/>
            </w:tcBorders>
            <w:shd w:val="clear" w:color="auto" w:fill="auto"/>
          </w:tcPr>
          <w:p w14:paraId="0DE9B1F7" w14:textId="77777777" w:rsidR="00E142D9" w:rsidRPr="001B61BB" w:rsidRDefault="00E142D9" w:rsidP="0059699A">
            <w:pPr>
              <w:keepNext/>
              <w:keepLines/>
              <w:spacing w:before="60" w:after="60"/>
              <w:rPr>
                <w:rFonts w:eastAsia="Calibri"/>
                <w:smallCaps/>
                <w:sz w:val="20"/>
                <w:szCs w:val="20"/>
              </w:rPr>
            </w:pPr>
          </w:p>
        </w:tc>
        <w:tc>
          <w:tcPr>
            <w:tcW w:w="589" w:type="pct"/>
            <w:tcBorders>
              <w:top w:val="single" w:sz="8" w:space="0" w:color="BFBFBF"/>
              <w:left w:val="single" w:sz="8" w:space="0" w:color="BFBFBF"/>
              <w:bottom w:val="single" w:sz="8" w:space="0" w:color="BFBFBF"/>
              <w:right w:val="single" w:sz="8" w:space="0" w:color="BFBFBF"/>
            </w:tcBorders>
            <w:shd w:val="clear" w:color="auto" w:fill="auto"/>
          </w:tcPr>
          <w:p w14:paraId="595D01BB" w14:textId="77777777" w:rsidR="00E142D9" w:rsidRPr="001B61BB" w:rsidRDefault="00E142D9" w:rsidP="0059699A">
            <w:pPr>
              <w:keepNext/>
              <w:keepLines/>
              <w:spacing w:before="60" w:after="60"/>
              <w:jc w:val="center"/>
              <w:rPr>
                <w:rFonts w:eastAsia="Segoe UI" w:cs="Segoe UI"/>
                <w:sz w:val="20"/>
                <w:szCs w:val="20"/>
              </w:rPr>
            </w:pPr>
          </w:p>
        </w:tc>
        <w:tc>
          <w:tcPr>
            <w:tcW w:w="924" w:type="pct"/>
            <w:tcBorders>
              <w:top w:val="single" w:sz="8" w:space="0" w:color="BFBFBF"/>
              <w:left w:val="single" w:sz="8" w:space="0" w:color="BFBFBF"/>
              <w:bottom w:val="single" w:sz="8" w:space="0" w:color="BFBFBF"/>
              <w:right w:val="single" w:sz="8" w:space="0" w:color="BFBFBF"/>
            </w:tcBorders>
            <w:shd w:val="clear" w:color="auto" w:fill="auto"/>
          </w:tcPr>
          <w:p w14:paraId="60185B31" w14:textId="77777777" w:rsidR="00E142D9" w:rsidRPr="001B61BB" w:rsidRDefault="00E142D9" w:rsidP="0059699A">
            <w:pPr>
              <w:keepNext/>
              <w:keepLines/>
              <w:spacing w:before="60" w:after="60"/>
              <w:jc w:val="center"/>
              <w:rPr>
                <w:rFonts w:eastAsia="Segoe UI" w:cs="Segoe UI"/>
                <w:sz w:val="20"/>
                <w:szCs w:val="20"/>
              </w:rPr>
            </w:pPr>
          </w:p>
        </w:tc>
        <w:tc>
          <w:tcPr>
            <w:tcW w:w="304" w:type="pct"/>
            <w:tcBorders>
              <w:top w:val="single" w:sz="8" w:space="0" w:color="BFBFBF"/>
              <w:left w:val="single" w:sz="8" w:space="0" w:color="BFBFBF"/>
              <w:bottom w:val="single" w:sz="8" w:space="0" w:color="BFBFBF"/>
              <w:right w:val="single" w:sz="8" w:space="0" w:color="BFBFBF"/>
            </w:tcBorders>
            <w:shd w:val="clear" w:color="auto" w:fill="auto"/>
          </w:tcPr>
          <w:p w14:paraId="216F5519" w14:textId="77777777" w:rsidR="00E142D9" w:rsidRPr="001B61BB" w:rsidRDefault="00E142D9" w:rsidP="0059699A">
            <w:pPr>
              <w:keepNext/>
              <w:keepLines/>
              <w:spacing w:before="60" w:after="60"/>
              <w:jc w:val="center"/>
              <w:rPr>
                <w:rFonts w:eastAsia="Segoe UI" w:cs="Segoe UI"/>
                <w:sz w:val="20"/>
                <w:szCs w:val="20"/>
              </w:rPr>
            </w:pPr>
          </w:p>
        </w:tc>
        <w:tc>
          <w:tcPr>
            <w:tcW w:w="191" w:type="pct"/>
            <w:tcBorders>
              <w:top w:val="single" w:sz="8" w:space="0" w:color="BFBFBF"/>
              <w:left w:val="single" w:sz="8" w:space="0" w:color="BFBFBF"/>
              <w:bottom w:val="single" w:sz="8" w:space="0" w:color="BFBFBF"/>
              <w:right w:val="single" w:sz="8" w:space="0" w:color="BFBFBF"/>
            </w:tcBorders>
            <w:shd w:val="clear" w:color="auto" w:fill="auto"/>
          </w:tcPr>
          <w:p w14:paraId="472061F2" w14:textId="77777777" w:rsidR="00E142D9" w:rsidRPr="001B61BB" w:rsidRDefault="00E142D9" w:rsidP="0059699A">
            <w:pPr>
              <w:keepNext/>
              <w:keepLines/>
              <w:spacing w:before="60" w:after="60"/>
              <w:jc w:val="center"/>
              <w:rPr>
                <w:rFonts w:eastAsia="Segoe UI" w:cs="Segoe UI"/>
                <w:sz w:val="20"/>
                <w:szCs w:val="20"/>
              </w:rPr>
            </w:pPr>
          </w:p>
        </w:tc>
        <w:tc>
          <w:tcPr>
            <w:tcW w:w="193" w:type="pct"/>
            <w:tcBorders>
              <w:top w:val="single" w:sz="8" w:space="0" w:color="BFBFBF"/>
              <w:left w:val="single" w:sz="8" w:space="0" w:color="BFBFBF"/>
              <w:bottom w:val="single" w:sz="8" w:space="0" w:color="BFBFBF"/>
              <w:right w:val="single" w:sz="8" w:space="0" w:color="BFBFBF"/>
            </w:tcBorders>
            <w:shd w:val="clear" w:color="auto" w:fill="auto"/>
          </w:tcPr>
          <w:p w14:paraId="405A4DCA" w14:textId="77777777" w:rsidR="00E142D9" w:rsidRPr="001B61BB" w:rsidRDefault="00E142D9" w:rsidP="0059699A">
            <w:pPr>
              <w:keepNext/>
              <w:keepLines/>
              <w:spacing w:before="60" w:after="60"/>
              <w:jc w:val="center"/>
              <w:rPr>
                <w:rFonts w:eastAsia="Segoe UI" w:cs="Segoe UI"/>
                <w:sz w:val="20"/>
                <w:szCs w:val="20"/>
              </w:rPr>
            </w:pPr>
          </w:p>
        </w:tc>
        <w:tc>
          <w:tcPr>
            <w:tcW w:w="215" w:type="pct"/>
            <w:tcBorders>
              <w:top w:val="single" w:sz="8" w:space="0" w:color="BFBFBF"/>
              <w:left w:val="single" w:sz="8" w:space="0" w:color="BFBFBF"/>
              <w:bottom w:val="single" w:sz="8" w:space="0" w:color="BFBFBF"/>
              <w:right w:val="single" w:sz="8" w:space="0" w:color="BFBFBF"/>
            </w:tcBorders>
            <w:shd w:val="clear" w:color="auto" w:fill="auto"/>
          </w:tcPr>
          <w:p w14:paraId="63672628" w14:textId="77777777" w:rsidR="00E142D9" w:rsidRPr="001B61BB" w:rsidRDefault="00E142D9" w:rsidP="0059699A">
            <w:pPr>
              <w:keepNext/>
              <w:keepLines/>
              <w:spacing w:before="60" w:after="60"/>
              <w:jc w:val="center"/>
              <w:rPr>
                <w:rFonts w:eastAsia="Segoe UI" w:cs="Segoe UI"/>
                <w:sz w:val="20"/>
                <w:szCs w:val="20"/>
              </w:rPr>
            </w:pPr>
          </w:p>
        </w:tc>
        <w:tc>
          <w:tcPr>
            <w:tcW w:w="192" w:type="pct"/>
            <w:tcBorders>
              <w:top w:val="single" w:sz="8" w:space="0" w:color="BFBFBF"/>
              <w:left w:val="single" w:sz="8" w:space="0" w:color="BFBFBF"/>
              <w:bottom w:val="single" w:sz="8" w:space="0" w:color="BFBFBF"/>
              <w:right w:val="single" w:sz="8" w:space="0" w:color="BFBFBF"/>
            </w:tcBorders>
            <w:shd w:val="clear" w:color="auto" w:fill="auto"/>
          </w:tcPr>
          <w:p w14:paraId="072FBC54" w14:textId="77777777" w:rsidR="00E142D9" w:rsidRPr="001B61BB" w:rsidRDefault="00E142D9" w:rsidP="0059699A">
            <w:pPr>
              <w:keepNext/>
              <w:keepLines/>
              <w:spacing w:before="60" w:after="60"/>
              <w:jc w:val="center"/>
              <w:rPr>
                <w:rFonts w:eastAsia="Segoe UI" w:cs="Segoe UI"/>
                <w:sz w:val="20"/>
                <w:szCs w:val="20"/>
              </w:rPr>
            </w:pPr>
          </w:p>
        </w:tc>
        <w:tc>
          <w:tcPr>
            <w:tcW w:w="264" w:type="pct"/>
            <w:tcBorders>
              <w:top w:val="single" w:sz="8" w:space="0" w:color="BFBFBF"/>
              <w:left w:val="single" w:sz="8" w:space="0" w:color="BFBFBF"/>
              <w:bottom w:val="single" w:sz="8" w:space="0" w:color="BFBFBF"/>
              <w:right w:val="single" w:sz="8" w:space="0" w:color="BFBFBF"/>
            </w:tcBorders>
            <w:shd w:val="clear" w:color="auto" w:fill="auto"/>
          </w:tcPr>
          <w:p w14:paraId="4D58964A" w14:textId="77777777" w:rsidR="00E142D9" w:rsidRPr="001B61BB" w:rsidRDefault="00E142D9" w:rsidP="0059699A">
            <w:pPr>
              <w:keepNext/>
              <w:keepLines/>
              <w:spacing w:before="60" w:after="60"/>
              <w:jc w:val="center"/>
              <w:rPr>
                <w:rFonts w:eastAsia="Segoe UI" w:cs="Segoe UI"/>
                <w:sz w:val="20"/>
                <w:szCs w:val="20"/>
              </w:rPr>
            </w:pPr>
          </w:p>
        </w:tc>
        <w:tc>
          <w:tcPr>
            <w:tcW w:w="812" w:type="pct"/>
            <w:tcBorders>
              <w:top w:val="single" w:sz="8" w:space="0" w:color="BFBFBF"/>
              <w:left w:val="single" w:sz="8" w:space="0" w:color="BFBFBF"/>
              <w:bottom w:val="single" w:sz="8" w:space="0" w:color="BFBFBF"/>
              <w:right w:val="single" w:sz="8" w:space="0" w:color="BFBFBF"/>
            </w:tcBorders>
            <w:shd w:val="clear" w:color="auto" w:fill="auto"/>
          </w:tcPr>
          <w:p w14:paraId="5A8A826D" w14:textId="77777777" w:rsidR="00E142D9" w:rsidRPr="001B61BB" w:rsidRDefault="00E142D9" w:rsidP="0059699A">
            <w:pPr>
              <w:keepNext/>
              <w:keepLines/>
              <w:spacing w:before="60" w:after="60"/>
              <w:jc w:val="center"/>
              <w:rPr>
                <w:rFonts w:eastAsia="Segoe UI" w:cs="Segoe UI"/>
                <w:sz w:val="20"/>
                <w:szCs w:val="20"/>
              </w:rPr>
            </w:pPr>
          </w:p>
        </w:tc>
        <w:tc>
          <w:tcPr>
            <w:tcW w:w="731" w:type="pct"/>
            <w:tcBorders>
              <w:top w:val="single" w:sz="8" w:space="0" w:color="BFBFBF"/>
              <w:left w:val="single" w:sz="8" w:space="0" w:color="BFBFBF"/>
              <w:bottom w:val="single" w:sz="8" w:space="0" w:color="BFBFBF"/>
              <w:right w:val="single" w:sz="8" w:space="0" w:color="BFBFBF"/>
            </w:tcBorders>
            <w:shd w:val="clear" w:color="auto" w:fill="auto"/>
          </w:tcPr>
          <w:p w14:paraId="0EBA7EDF" w14:textId="77777777" w:rsidR="00E142D9" w:rsidRPr="001B61BB" w:rsidRDefault="00E142D9" w:rsidP="0059699A">
            <w:pPr>
              <w:keepNext/>
              <w:keepLines/>
              <w:spacing w:before="60" w:after="60"/>
              <w:jc w:val="center"/>
              <w:rPr>
                <w:rFonts w:eastAsia="Segoe UI" w:cs="Segoe UI"/>
                <w:sz w:val="20"/>
                <w:szCs w:val="20"/>
              </w:rPr>
            </w:pPr>
          </w:p>
        </w:tc>
      </w:tr>
      <w:tr w:rsidR="00400145" w:rsidRPr="001B61BB" w14:paraId="12568996" w14:textId="77777777" w:rsidTr="00E10216">
        <w:trPr>
          <w:trHeight w:val="150"/>
        </w:trPr>
        <w:tc>
          <w:tcPr>
            <w:tcW w:w="584" w:type="pct"/>
            <w:tcBorders>
              <w:top w:val="single" w:sz="8" w:space="0" w:color="BFBFBF"/>
              <w:left w:val="single" w:sz="8" w:space="0" w:color="BFBFBF"/>
              <w:bottom w:val="single" w:sz="8" w:space="0" w:color="BFBFBF"/>
              <w:right w:val="single" w:sz="8" w:space="0" w:color="BFBFBF"/>
            </w:tcBorders>
            <w:shd w:val="clear" w:color="auto" w:fill="auto"/>
          </w:tcPr>
          <w:p w14:paraId="1343528B" w14:textId="77777777" w:rsidR="00E142D9" w:rsidRPr="001B61BB" w:rsidRDefault="00E142D9" w:rsidP="0059699A">
            <w:pPr>
              <w:keepNext/>
              <w:keepLines/>
              <w:spacing w:before="60" w:after="60"/>
              <w:rPr>
                <w:rFonts w:eastAsia="Calibri"/>
                <w:smallCaps/>
                <w:sz w:val="20"/>
                <w:szCs w:val="20"/>
              </w:rPr>
            </w:pPr>
          </w:p>
        </w:tc>
        <w:tc>
          <w:tcPr>
            <w:tcW w:w="589" w:type="pct"/>
            <w:tcBorders>
              <w:top w:val="single" w:sz="8" w:space="0" w:color="BFBFBF"/>
              <w:left w:val="single" w:sz="8" w:space="0" w:color="BFBFBF"/>
              <w:bottom w:val="single" w:sz="8" w:space="0" w:color="BFBFBF"/>
              <w:right w:val="single" w:sz="8" w:space="0" w:color="BFBFBF"/>
            </w:tcBorders>
            <w:shd w:val="clear" w:color="auto" w:fill="auto"/>
          </w:tcPr>
          <w:p w14:paraId="18C264C8" w14:textId="77777777" w:rsidR="00E142D9" w:rsidRPr="001B61BB" w:rsidRDefault="00E142D9" w:rsidP="0059699A">
            <w:pPr>
              <w:keepNext/>
              <w:keepLines/>
              <w:spacing w:before="60" w:after="60"/>
              <w:jc w:val="center"/>
              <w:rPr>
                <w:rFonts w:eastAsia="Segoe UI" w:cs="Segoe UI"/>
                <w:sz w:val="20"/>
                <w:szCs w:val="20"/>
              </w:rPr>
            </w:pPr>
          </w:p>
        </w:tc>
        <w:tc>
          <w:tcPr>
            <w:tcW w:w="924" w:type="pct"/>
            <w:tcBorders>
              <w:top w:val="single" w:sz="8" w:space="0" w:color="BFBFBF"/>
              <w:left w:val="single" w:sz="8" w:space="0" w:color="BFBFBF"/>
              <w:bottom w:val="single" w:sz="8" w:space="0" w:color="BFBFBF"/>
              <w:right w:val="single" w:sz="8" w:space="0" w:color="BFBFBF"/>
            </w:tcBorders>
            <w:shd w:val="clear" w:color="auto" w:fill="auto"/>
          </w:tcPr>
          <w:p w14:paraId="74A10EAA" w14:textId="77777777" w:rsidR="00E142D9" w:rsidRPr="001B61BB" w:rsidRDefault="00E142D9" w:rsidP="0059699A">
            <w:pPr>
              <w:keepNext/>
              <w:keepLines/>
              <w:spacing w:before="60" w:after="60"/>
              <w:jc w:val="center"/>
              <w:rPr>
                <w:rFonts w:eastAsia="Segoe UI" w:cs="Segoe UI"/>
                <w:sz w:val="20"/>
                <w:szCs w:val="20"/>
              </w:rPr>
            </w:pPr>
          </w:p>
        </w:tc>
        <w:tc>
          <w:tcPr>
            <w:tcW w:w="304" w:type="pct"/>
            <w:tcBorders>
              <w:top w:val="single" w:sz="8" w:space="0" w:color="BFBFBF"/>
              <w:left w:val="single" w:sz="8" w:space="0" w:color="BFBFBF"/>
              <w:bottom w:val="single" w:sz="8" w:space="0" w:color="BFBFBF"/>
              <w:right w:val="single" w:sz="8" w:space="0" w:color="BFBFBF"/>
            </w:tcBorders>
            <w:shd w:val="clear" w:color="auto" w:fill="auto"/>
          </w:tcPr>
          <w:p w14:paraId="61BC90EF" w14:textId="77777777" w:rsidR="00E142D9" w:rsidRPr="001B61BB" w:rsidRDefault="00E142D9" w:rsidP="0059699A">
            <w:pPr>
              <w:keepNext/>
              <w:keepLines/>
              <w:spacing w:before="60" w:after="60"/>
              <w:jc w:val="center"/>
              <w:rPr>
                <w:rFonts w:eastAsia="Segoe UI" w:cs="Segoe UI"/>
                <w:sz w:val="20"/>
                <w:szCs w:val="20"/>
              </w:rPr>
            </w:pPr>
          </w:p>
        </w:tc>
        <w:tc>
          <w:tcPr>
            <w:tcW w:w="191" w:type="pct"/>
            <w:tcBorders>
              <w:top w:val="single" w:sz="8" w:space="0" w:color="BFBFBF"/>
              <w:left w:val="single" w:sz="8" w:space="0" w:color="BFBFBF"/>
              <w:bottom w:val="single" w:sz="8" w:space="0" w:color="BFBFBF"/>
              <w:right w:val="single" w:sz="8" w:space="0" w:color="BFBFBF"/>
            </w:tcBorders>
            <w:shd w:val="clear" w:color="auto" w:fill="auto"/>
          </w:tcPr>
          <w:p w14:paraId="1A11005C" w14:textId="77777777" w:rsidR="00E142D9" w:rsidRPr="001B61BB" w:rsidRDefault="00E142D9" w:rsidP="0059699A">
            <w:pPr>
              <w:keepNext/>
              <w:keepLines/>
              <w:spacing w:before="60" w:after="60"/>
              <w:jc w:val="center"/>
              <w:rPr>
                <w:rFonts w:eastAsia="Segoe UI" w:cs="Segoe UI"/>
                <w:sz w:val="20"/>
                <w:szCs w:val="20"/>
              </w:rPr>
            </w:pPr>
          </w:p>
        </w:tc>
        <w:tc>
          <w:tcPr>
            <w:tcW w:w="193" w:type="pct"/>
            <w:tcBorders>
              <w:top w:val="single" w:sz="8" w:space="0" w:color="BFBFBF"/>
              <w:left w:val="single" w:sz="8" w:space="0" w:color="BFBFBF"/>
              <w:bottom w:val="single" w:sz="8" w:space="0" w:color="BFBFBF"/>
              <w:right w:val="single" w:sz="8" w:space="0" w:color="BFBFBF"/>
            </w:tcBorders>
            <w:shd w:val="clear" w:color="auto" w:fill="auto"/>
          </w:tcPr>
          <w:p w14:paraId="1947939B" w14:textId="77777777" w:rsidR="00E142D9" w:rsidRPr="001B61BB" w:rsidRDefault="00E142D9" w:rsidP="0059699A">
            <w:pPr>
              <w:keepNext/>
              <w:keepLines/>
              <w:spacing w:before="60" w:after="60"/>
              <w:jc w:val="center"/>
              <w:rPr>
                <w:rFonts w:eastAsia="Segoe UI" w:cs="Segoe UI"/>
                <w:sz w:val="20"/>
                <w:szCs w:val="20"/>
              </w:rPr>
            </w:pPr>
          </w:p>
        </w:tc>
        <w:tc>
          <w:tcPr>
            <w:tcW w:w="215" w:type="pct"/>
            <w:tcBorders>
              <w:top w:val="single" w:sz="8" w:space="0" w:color="BFBFBF"/>
              <w:left w:val="single" w:sz="8" w:space="0" w:color="BFBFBF"/>
              <w:bottom w:val="single" w:sz="8" w:space="0" w:color="BFBFBF"/>
              <w:right w:val="single" w:sz="8" w:space="0" w:color="BFBFBF"/>
            </w:tcBorders>
            <w:shd w:val="clear" w:color="auto" w:fill="auto"/>
          </w:tcPr>
          <w:p w14:paraId="69F64E0A" w14:textId="77777777" w:rsidR="00E142D9" w:rsidRPr="001B61BB" w:rsidRDefault="00E142D9" w:rsidP="0059699A">
            <w:pPr>
              <w:keepNext/>
              <w:keepLines/>
              <w:spacing w:before="60" w:after="60"/>
              <w:jc w:val="center"/>
              <w:rPr>
                <w:rFonts w:eastAsia="Segoe UI" w:cs="Segoe UI"/>
                <w:sz w:val="20"/>
                <w:szCs w:val="20"/>
              </w:rPr>
            </w:pPr>
          </w:p>
        </w:tc>
        <w:tc>
          <w:tcPr>
            <w:tcW w:w="192" w:type="pct"/>
            <w:tcBorders>
              <w:top w:val="single" w:sz="8" w:space="0" w:color="BFBFBF"/>
              <w:left w:val="single" w:sz="8" w:space="0" w:color="BFBFBF"/>
              <w:bottom w:val="single" w:sz="8" w:space="0" w:color="BFBFBF"/>
              <w:right w:val="single" w:sz="8" w:space="0" w:color="BFBFBF"/>
            </w:tcBorders>
            <w:shd w:val="clear" w:color="auto" w:fill="auto"/>
          </w:tcPr>
          <w:p w14:paraId="291CC055" w14:textId="77777777" w:rsidR="00E142D9" w:rsidRPr="001B61BB" w:rsidRDefault="00E142D9" w:rsidP="0059699A">
            <w:pPr>
              <w:keepNext/>
              <w:keepLines/>
              <w:spacing w:before="60" w:after="60"/>
              <w:jc w:val="center"/>
              <w:rPr>
                <w:rFonts w:eastAsia="Segoe UI" w:cs="Segoe UI"/>
                <w:sz w:val="20"/>
                <w:szCs w:val="20"/>
              </w:rPr>
            </w:pPr>
          </w:p>
        </w:tc>
        <w:tc>
          <w:tcPr>
            <w:tcW w:w="264" w:type="pct"/>
            <w:tcBorders>
              <w:top w:val="single" w:sz="8" w:space="0" w:color="BFBFBF"/>
              <w:left w:val="single" w:sz="8" w:space="0" w:color="BFBFBF"/>
              <w:bottom w:val="single" w:sz="8" w:space="0" w:color="BFBFBF"/>
              <w:right w:val="single" w:sz="8" w:space="0" w:color="BFBFBF"/>
            </w:tcBorders>
            <w:shd w:val="clear" w:color="auto" w:fill="auto"/>
          </w:tcPr>
          <w:p w14:paraId="4F0B4988" w14:textId="77777777" w:rsidR="00E142D9" w:rsidRPr="001B61BB" w:rsidRDefault="00E142D9" w:rsidP="0059699A">
            <w:pPr>
              <w:keepNext/>
              <w:keepLines/>
              <w:spacing w:before="60" w:after="60"/>
              <w:jc w:val="center"/>
              <w:rPr>
                <w:rFonts w:eastAsia="Segoe UI" w:cs="Segoe UI"/>
                <w:sz w:val="20"/>
                <w:szCs w:val="20"/>
              </w:rPr>
            </w:pPr>
          </w:p>
        </w:tc>
        <w:tc>
          <w:tcPr>
            <w:tcW w:w="812" w:type="pct"/>
            <w:tcBorders>
              <w:top w:val="single" w:sz="8" w:space="0" w:color="BFBFBF"/>
              <w:left w:val="single" w:sz="8" w:space="0" w:color="BFBFBF"/>
              <w:bottom w:val="single" w:sz="8" w:space="0" w:color="BFBFBF"/>
              <w:right w:val="single" w:sz="8" w:space="0" w:color="BFBFBF"/>
            </w:tcBorders>
            <w:shd w:val="clear" w:color="auto" w:fill="auto"/>
          </w:tcPr>
          <w:p w14:paraId="7F10B946" w14:textId="77777777" w:rsidR="00E142D9" w:rsidRPr="001B61BB" w:rsidRDefault="00E142D9" w:rsidP="0059699A">
            <w:pPr>
              <w:keepNext/>
              <w:keepLines/>
              <w:spacing w:before="60" w:after="60"/>
              <w:jc w:val="center"/>
              <w:rPr>
                <w:rFonts w:eastAsia="Segoe UI" w:cs="Segoe UI"/>
                <w:sz w:val="20"/>
                <w:szCs w:val="20"/>
              </w:rPr>
            </w:pPr>
          </w:p>
        </w:tc>
        <w:tc>
          <w:tcPr>
            <w:tcW w:w="731" w:type="pct"/>
            <w:tcBorders>
              <w:top w:val="single" w:sz="8" w:space="0" w:color="BFBFBF"/>
              <w:left w:val="single" w:sz="8" w:space="0" w:color="BFBFBF"/>
              <w:bottom w:val="single" w:sz="8" w:space="0" w:color="BFBFBF"/>
              <w:right w:val="single" w:sz="8" w:space="0" w:color="BFBFBF"/>
            </w:tcBorders>
            <w:shd w:val="clear" w:color="auto" w:fill="auto"/>
          </w:tcPr>
          <w:p w14:paraId="3FA0AE96" w14:textId="77777777" w:rsidR="00E142D9" w:rsidRPr="001B61BB" w:rsidRDefault="00E142D9" w:rsidP="0059699A">
            <w:pPr>
              <w:keepNext/>
              <w:keepLines/>
              <w:spacing w:before="60" w:after="60"/>
              <w:jc w:val="center"/>
              <w:rPr>
                <w:rFonts w:eastAsia="Segoe UI" w:cs="Segoe UI"/>
                <w:sz w:val="20"/>
                <w:szCs w:val="20"/>
              </w:rPr>
            </w:pPr>
          </w:p>
        </w:tc>
      </w:tr>
      <w:tr w:rsidR="00400145" w:rsidRPr="001B61BB" w14:paraId="37735570" w14:textId="77777777" w:rsidTr="00E10216">
        <w:trPr>
          <w:trHeight w:val="150"/>
        </w:trPr>
        <w:tc>
          <w:tcPr>
            <w:tcW w:w="584" w:type="pct"/>
            <w:tcBorders>
              <w:top w:val="single" w:sz="8" w:space="0" w:color="BFBFBF"/>
              <w:left w:val="single" w:sz="8" w:space="0" w:color="BFBFBF"/>
              <w:bottom w:val="single" w:sz="8" w:space="0" w:color="BFBFBF"/>
              <w:right w:val="single" w:sz="8" w:space="0" w:color="BFBFBF"/>
            </w:tcBorders>
            <w:shd w:val="clear" w:color="auto" w:fill="auto"/>
          </w:tcPr>
          <w:p w14:paraId="1CE8F1D9" w14:textId="77777777" w:rsidR="00E142D9" w:rsidRPr="001B61BB" w:rsidRDefault="00E142D9" w:rsidP="0059699A">
            <w:pPr>
              <w:keepNext/>
              <w:keepLines/>
              <w:spacing w:before="60" w:after="60"/>
              <w:rPr>
                <w:rFonts w:eastAsia="Calibri"/>
                <w:smallCaps/>
                <w:sz w:val="20"/>
                <w:szCs w:val="20"/>
              </w:rPr>
            </w:pPr>
          </w:p>
        </w:tc>
        <w:tc>
          <w:tcPr>
            <w:tcW w:w="589" w:type="pct"/>
            <w:tcBorders>
              <w:top w:val="single" w:sz="8" w:space="0" w:color="BFBFBF"/>
              <w:left w:val="single" w:sz="8" w:space="0" w:color="BFBFBF"/>
              <w:bottom w:val="single" w:sz="8" w:space="0" w:color="BFBFBF"/>
              <w:right w:val="single" w:sz="8" w:space="0" w:color="BFBFBF"/>
            </w:tcBorders>
            <w:shd w:val="clear" w:color="auto" w:fill="auto"/>
          </w:tcPr>
          <w:p w14:paraId="2F92C7B5" w14:textId="77777777" w:rsidR="00E142D9" w:rsidRPr="001B61BB" w:rsidRDefault="00E142D9" w:rsidP="0059699A">
            <w:pPr>
              <w:keepNext/>
              <w:keepLines/>
              <w:spacing w:before="60" w:after="60"/>
              <w:jc w:val="center"/>
              <w:rPr>
                <w:rFonts w:eastAsia="Segoe UI" w:cs="Segoe UI"/>
                <w:sz w:val="20"/>
                <w:szCs w:val="20"/>
              </w:rPr>
            </w:pPr>
          </w:p>
        </w:tc>
        <w:tc>
          <w:tcPr>
            <w:tcW w:w="924" w:type="pct"/>
            <w:tcBorders>
              <w:top w:val="single" w:sz="8" w:space="0" w:color="BFBFBF"/>
              <w:left w:val="single" w:sz="8" w:space="0" w:color="BFBFBF"/>
              <w:bottom w:val="single" w:sz="8" w:space="0" w:color="BFBFBF"/>
              <w:right w:val="single" w:sz="8" w:space="0" w:color="BFBFBF"/>
            </w:tcBorders>
            <w:shd w:val="clear" w:color="auto" w:fill="auto"/>
          </w:tcPr>
          <w:p w14:paraId="2D04353C" w14:textId="77777777" w:rsidR="00E142D9" w:rsidRPr="001B61BB" w:rsidRDefault="00E142D9" w:rsidP="0059699A">
            <w:pPr>
              <w:keepNext/>
              <w:keepLines/>
              <w:spacing w:before="60" w:after="60"/>
              <w:jc w:val="center"/>
              <w:rPr>
                <w:rFonts w:eastAsia="Segoe UI" w:cs="Segoe UI"/>
                <w:sz w:val="20"/>
                <w:szCs w:val="20"/>
              </w:rPr>
            </w:pPr>
          </w:p>
        </w:tc>
        <w:tc>
          <w:tcPr>
            <w:tcW w:w="304" w:type="pct"/>
            <w:tcBorders>
              <w:top w:val="single" w:sz="8" w:space="0" w:color="BFBFBF"/>
              <w:left w:val="single" w:sz="8" w:space="0" w:color="BFBFBF"/>
              <w:bottom w:val="single" w:sz="8" w:space="0" w:color="BFBFBF"/>
              <w:right w:val="single" w:sz="8" w:space="0" w:color="BFBFBF"/>
            </w:tcBorders>
            <w:shd w:val="clear" w:color="auto" w:fill="auto"/>
          </w:tcPr>
          <w:p w14:paraId="157B0768" w14:textId="77777777" w:rsidR="00E142D9" w:rsidRPr="001B61BB" w:rsidRDefault="00E142D9" w:rsidP="0059699A">
            <w:pPr>
              <w:keepNext/>
              <w:keepLines/>
              <w:spacing w:before="60" w:after="60"/>
              <w:jc w:val="center"/>
              <w:rPr>
                <w:rFonts w:eastAsia="Segoe UI" w:cs="Segoe UI"/>
                <w:sz w:val="20"/>
                <w:szCs w:val="20"/>
              </w:rPr>
            </w:pPr>
          </w:p>
        </w:tc>
        <w:tc>
          <w:tcPr>
            <w:tcW w:w="191" w:type="pct"/>
            <w:tcBorders>
              <w:top w:val="single" w:sz="8" w:space="0" w:color="BFBFBF"/>
              <w:left w:val="single" w:sz="8" w:space="0" w:color="BFBFBF"/>
              <w:bottom w:val="single" w:sz="8" w:space="0" w:color="BFBFBF"/>
              <w:right w:val="single" w:sz="8" w:space="0" w:color="BFBFBF"/>
            </w:tcBorders>
            <w:shd w:val="clear" w:color="auto" w:fill="auto"/>
          </w:tcPr>
          <w:p w14:paraId="2BD7D4A2" w14:textId="77777777" w:rsidR="00E142D9" w:rsidRPr="001B61BB" w:rsidRDefault="00E142D9" w:rsidP="0059699A">
            <w:pPr>
              <w:keepNext/>
              <w:keepLines/>
              <w:spacing w:before="60" w:after="60"/>
              <w:jc w:val="center"/>
              <w:rPr>
                <w:rFonts w:eastAsia="Segoe UI" w:cs="Segoe UI"/>
                <w:sz w:val="20"/>
                <w:szCs w:val="20"/>
              </w:rPr>
            </w:pPr>
          </w:p>
        </w:tc>
        <w:tc>
          <w:tcPr>
            <w:tcW w:w="193" w:type="pct"/>
            <w:tcBorders>
              <w:top w:val="single" w:sz="8" w:space="0" w:color="BFBFBF"/>
              <w:left w:val="single" w:sz="8" w:space="0" w:color="BFBFBF"/>
              <w:bottom w:val="single" w:sz="8" w:space="0" w:color="BFBFBF"/>
              <w:right w:val="single" w:sz="8" w:space="0" w:color="BFBFBF"/>
            </w:tcBorders>
            <w:shd w:val="clear" w:color="auto" w:fill="auto"/>
          </w:tcPr>
          <w:p w14:paraId="12051901" w14:textId="77777777" w:rsidR="00E142D9" w:rsidRPr="001B61BB" w:rsidRDefault="00E142D9" w:rsidP="0059699A">
            <w:pPr>
              <w:keepNext/>
              <w:keepLines/>
              <w:spacing w:before="60" w:after="60"/>
              <w:jc w:val="center"/>
              <w:rPr>
                <w:rFonts w:eastAsia="Segoe UI" w:cs="Segoe UI"/>
                <w:sz w:val="20"/>
                <w:szCs w:val="20"/>
              </w:rPr>
            </w:pPr>
          </w:p>
        </w:tc>
        <w:tc>
          <w:tcPr>
            <w:tcW w:w="215" w:type="pct"/>
            <w:tcBorders>
              <w:top w:val="single" w:sz="8" w:space="0" w:color="BFBFBF"/>
              <w:left w:val="single" w:sz="8" w:space="0" w:color="BFBFBF"/>
              <w:bottom w:val="single" w:sz="8" w:space="0" w:color="BFBFBF"/>
              <w:right w:val="single" w:sz="8" w:space="0" w:color="BFBFBF"/>
            </w:tcBorders>
            <w:shd w:val="clear" w:color="auto" w:fill="auto"/>
          </w:tcPr>
          <w:p w14:paraId="689D0025" w14:textId="77777777" w:rsidR="00E142D9" w:rsidRPr="001B61BB" w:rsidRDefault="00E142D9" w:rsidP="0059699A">
            <w:pPr>
              <w:keepNext/>
              <w:keepLines/>
              <w:spacing w:before="60" w:after="60"/>
              <w:jc w:val="center"/>
              <w:rPr>
                <w:rFonts w:eastAsia="Segoe UI" w:cs="Segoe UI"/>
                <w:sz w:val="20"/>
                <w:szCs w:val="20"/>
              </w:rPr>
            </w:pPr>
          </w:p>
        </w:tc>
        <w:tc>
          <w:tcPr>
            <w:tcW w:w="192" w:type="pct"/>
            <w:tcBorders>
              <w:top w:val="single" w:sz="8" w:space="0" w:color="BFBFBF"/>
              <w:left w:val="single" w:sz="8" w:space="0" w:color="BFBFBF"/>
              <w:bottom w:val="single" w:sz="8" w:space="0" w:color="BFBFBF"/>
              <w:right w:val="single" w:sz="8" w:space="0" w:color="BFBFBF"/>
            </w:tcBorders>
            <w:shd w:val="clear" w:color="auto" w:fill="auto"/>
          </w:tcPr>
          <w:p w14:paraId="6A1B81E7" w14:textId="77777777" w:rsidR="00E142D9" w:rsidRPr="001B61BB" w:rsidRDefault="00E142D9" w:rsidP="0059699A">
            <w:pPr>
              <w:keepNext/>
              <w:keepLines/>
              <w:spacing w:before="60" w:after="60"/>
              <w:jc w:val="center"/>
              <w:rPr>
                <w:rFonts w:eastAsia="Segoe UI" w:cs="Segoe UI"/>
                <w:sz w:val="20"/>
                <w:szCs w:val="20"/>
              </w:rPr>
            </w:pPr>
          </w:p>
        </w:tc>
        <w:tc>
          <w:tcPr>
            <w:tcW w:w="264" w:type="pct"/>
            <w:tcBorders>
              <w:top w:val="single" w:sz="8" w:space="0" w:color="BFBFBF"/>
              <w:left w:val="single" w:sz="8" w:space="0" w:color="BFBFBF"/>
              <w:bottom w:val="single" w:sz="8" w:space="0" w:color="BFBFBF"/>
              <w:right w:val="single" w:sz="8" w:space="0" w:color="BFBFBF"/>
            </w:tcBorders>
            <w:shd w:val="clear" w:color="auto" w:fill="auto"/>
          </w:tcPr>
          <w:p w14:paraId="3C535B6D" w14:textId="77777777" w:rsidR="00E142D9" w:rsidRPr="001B61BB" w:rsidRDefault="00E142D9" w:rsidP="0059699A">
            <w:pPr>
              <w:keepNext/>
              <w:keepLines/>
              <w:spacing w:before="60" w:after="60"/>
              <w:jc w:val="center"/>
              <w:rPr>
                <w:rFonts w:eastAsia="Segoe UI" w:cs="Segoe UI"/>
                <w:sz w:val="20"/>
                <w:szCs w:val="20"/>
              </w:rPr>
            </w:pPr>
          </w:p>
        </w:tc>
        <w:tc>
          <w:tcPr>
            <w:tcW w:w="812" w:type="pct"/>
            <w:tcBorders>
              <w:top w:val="single" w:sz="8" w:space="0" w:color="BFBFBF"/>
              <w:left w:val="single" w:sz="8" w:space="0" w:color="BFBFBF"/>
              <w:bottom w:val="single" w:sz="8" w:space="0" w:color="BFBFBF"/>
              <w:right w:val="single" w:sz="8" w:space="0" w:color="BFBFBF"/>
            </w:tcBorders>
            <w:shd w:val="clear" w:color="auto" w:fill="auto"/>
          </w:tcPr>
          <w:p w14:paraId="64E73CA3" w14:textId="77777777" w:rsidR="00E142D9" w:rsidRPr="001B61BB" w:rsidRDefault="00E142D9" w:rsidP="0059699A">
            <w:pPr>
              <w:keepNext/>
              <w:keepLines/>
              <w:spacing w:before="60" w:after="60"/>
              <w:jc w:val="center"/>
              <w:rPr>
                <w:rFonts w:eastAsia="Segoe UI" w:cs="Segoe UI"/>
                <w:sz w:val="20"/>
                <w:szCs w:val="20"/>
              </w:rPr>
            </w:pPr>
          </w:p>
        </w:tc>
        <w:tc>
          <w:tcPr>
            <w:tcW w:w="731" w:type="pct"/>
            <w:tcBorders>
              <w:top w:val="single" w:sz="8" w:space="0" w:color="BFBFBF"/>
              <w:left w:val="single" w:sz="8" w:space="0" w:color="BFBFBF"/>
              <w:bottom w:val="single" w:sz="8" w:space="0" w:color="BFBFBF"/>
              <w:right w:val="single" w:sz="8" w:space="0" w:color="BFBFBF"/>
            </w:tcBorders>
            <w:shd w:val="clear" w:color="auto" w:fill="auto"/>
          </w:tcPr>
          <w:p w14:paraId="160E2377" w14:textId="77777777" w:rsidR="00E142D9" w:rsidRPr="001B61BB" w:rsidRDefault="00E142D9" w:rsidP="0059699A">
            <w:pPr>
              <w:keepNext/>
              <w:keepLines/>
              <w:spacing w:before="60" w:after="60"/>
              <w:jc w:val="center"/>
              <w:rPr>
                <w:rFonts w:eastAsia="Segoe UI" w:cs="Segoe UI"/>
                <w:sz w:val="20"/>
                <w:szCs w:val="20"/>
              </w:rPr>
            </w:pPr>
          </w:p>
        </w:tc>
      </w:tr>
      <w:tr w:rsidR="00400145" w:rsidRPr="001B61BB" w14:paraId="3DF21C36" w14:textId="77777777" w:rsidTr="00E10216">
        <w:trPr>
          <w:trHeight w:val="150"/>
        </w:trPr>
        <w:tc>
          <w:tcPr>
            <w:tcW w:w="584" w:type="pct"/>
            <w:tcBorders>
              <w:top w:val="single" w:sz="8" w:space="0" w:color="BFBFBF"/>
              <w:left w:val="single" w:sz="8" w:space="0" w:color="BFBFBF"/>
              <w:bottom w:val="single" w:sz="8" w:space="0" w:color="BFBFBF"/>
              <w:right w:val="single" w:sz="8" w:space="0" w:color="BFBFBF"/>
            </w:tcBorders>
            <w:shd w:val="clear" w:color="auto" w:fill="auto"/>
          </w:tcPr>
          <w:p w14:paraId="5EA16EEB" w14:textId="77777777" w:rsidR="00E142D9" w:rsidRPr="001B61BB" w:rsidRDefault="00E142D9" w:rsidP="0059699A">
            <w:pPr>
              <w:keepNext/>
              <w:keepLines/>
              <w:spacing w:before="60" w:after="60"/>
              <w:rPr>
                <w:rFonts w:eastAsia="Calibri"/>
                <w:smallCaps/>
                <w:sz w:val="20"/>
                <w:szCs w:val="20"/>
              </w:rPr>
            </w:pPr>
          </w:p>
        </w:tc>
        <w:tc>
          <w:tcPr>
            <w:tcW w:w="589" w:type="pct"/>
            <w:tcBorders>
              <w:top w:val="single" w:sz="8" w:space="0" w:color="BFBFBF"/>
              <w:left w:val="single" w:sz="8" w:space="0" w:color="BFBFBF"/>
              <w:bottom w:val="single" w:sz="8" w:space="0" w:color="BFBFBF"/>
              <w:right w:val="single" w:sz="8" w:space="0" w:color="BFBFBF"/>
            </w:tcBorders>
            <w:shd w:val="clear" w:color="auto" w:fill="auto"/>
          </w:tcPr>
          <w:p w14:paraId="72292747" w14:textId="77777777" w:rsidR="00E142D9" w:rsidRPr="001B61BB" w:rsidRDefault="00E142D9" w:rsidP="0059699A">
            <w:pPr>
              <w:keepNext/>
              <w:keepLines/>
              <w:spacing w:before="60" w:after="60"/>
              <w:jc w:val="center"/>
              <w:rPr>
                <w:rFonts w:eastAsia="Segoe UI" w:cs="Segoe UI"/>
                <w:sz w:val="20"/>
                <w:szCs w:val="20"/>
              </w:rPr>
            </w:pPr>
          </w:p>
        </w:tc>
        <w:tc>
          <w:tcPr>
            <w:tcW w:w="924" w:type="pct"/>
            <w:tcBorders>
              <w:top w:val="single" w:sz="8" w:space="0" w:color="BFBFBF"/>
              <w:left w:val="single" w:sz="8" w:space="0" w:color="BFBFBF"/>
              <w:bottom w:val="single" w:sz="8" w:space="0" w:color="BFBFBF"/>
              <w:right w:val="single" w:sz="8" w:space="0" w:color="BFBFBF"/>
            </w:tcBorders>
            <w:shd w:val="clear" w:color="auto" w:fill="auto"/>
          </w:tcPr>
          <w:p w14:paraId="2FD4BCF0" w14:textId="77777777" w:rsidR="00E142D9" w:rsidRPr="001B61BB" w:rsidRDefault="00E142D9" w:rsidP="0059699A">
            <w:pPr>
              <w:keepNext/>
              <w:keepLines/>
              <w:spacing w:before="60" w:after="60"/>
              <w:jc w:val="center"/>
              <w:rPr>
                <w:rFonts w:eastAsia="Segoe UI" w:cs="Segoe UI"/>
                <w:sz w:val="20"/>
                <w:szCs w:val="20"/>
              </w:rPr>
            </w:pPr>
          </w:p>
        </w:tc>
        <w:tc>
          <w:tcPr>
            <w:tcW w:w="304" w:type="pct"/>
            <w:tcBorders>
              <w:top w:val="single" w:sz="8" w:space="0" w:color="BFBFBF"/>
              <w:left w:val="single" w:sz="8" w:space="0" w:color="BFBFBF"/>
              <w:bottom w:val="single" w:sz="8" w:space="0" w:color="BFBFBF"/>
              <w:right w:val="single" w:sz="8" w:space="0" w:color="BFBFBF"/>
            </w:tcBorders>
            <w:shd w:val="clear" w:color="auto" w:fill="auto"/>
          </w:tcPr>
          <w:p w14:paraId="0F611DA1" w14:textId="77777777" w:rsidR="00E142D9" w:rsidRPr="001B61BB" w:rsidRDefault="00E142D9" w:rsidP="0059699A">
            <w:pPr>
              <w:keepNext/>
              <w:keepLines/>
              <w:spacing w:before="60" w:after="60"/>
              <w:jc w:val="center"/>
              <w:rPr>
                <w:rFonts w:eastAsia="Segoe UI" w:cs="Segoe UI"/>
                <w:sz w:val="20"/>
                <w:szCs w:val="20"/>
              </w:rPr>
            </w:pPr>
          </w:p>
        </w:tc>
        <w:tc>
          <w:tcPr>
            <w:tcW w:w="191" w:type="pct"/>
            <w:tcBorders>
              <w:top w:val="single" w:sz="8" w:space="0" w:color="BFBFBF"/>
              <w:left w:val="single" w:sz="8" w:space="0" w:color="BFBFBF"/>
              <w:bottom w:val="single" w:sz="8" w:space="0" w:color="BFBFBF"/>
              <w:right w:val="single" w:sz="8" w:space="0" w:color="BFBFBF"/>
            </w:tcBorders>
            <w:shd w:val="clear" w:color="auto" w:fill="auto"/>
          </w:tcPr>
          <w:p w14:paraId="1BBA662F" w14:textId="77777777" w:rsidR="00E142D9" w:rsidRPr="001B61BB" w:rsidRDefault="00E142D9" w:rsidP="0059699A">
            <w:pPr>
              <w:keepNext/>
              <w:keepLines/>
              <w:spacing w:before="60" w:after="60"/>
              <w:jc w:val="center"/>
              <w:rPr>
                <w:rFonts w:eastAsia="Segoe UI" w:cs="Segoe UI"/>
                <w:sz w:val="20"/>
                <w:szCs w:val="20"/>
              </w:rPr>
            </w:pPr>
          </w:p>
        </w:tc>
        <w:tc>
          <w:tcPr>
            <w:tcW w:w="193" w:type="pct"/>
            <w:tcBorders>
              <w:top w:val="single" w:sz="8" w:space="0" w:color="BFBFBF"/>
              <w:left w:val="single" w:sz="8" w:space="0" w:color="BFBFBF"/>
              <w:bottom w:val="single" w:sz="8" w:space="0" w:color="BFBFBF"/>
              <w:right w:val="single" w:sz="8" w:space="0" w:color="BFBFBF"/>
            </w:tcBorders>
            <w:shd w:val="clear" w:color="auto" w:fill="auto"/>
          </w:tcPr>
          <w:p w14:paraId="58EED17E" w14:textId="77777777" w:rsidR="00E142D9" w:rsidRPr="001B61BB" w:rsidRDefault="00E142D9" w:rsidP="0059699A">
            <w:pPr>
              <w:keepNext/>
              <w:keepLines/>
              <w:spacing w:before="60" w:after="60"/>
              <w:jc w:val="center"/>
              <w:rPr>
                <w:rFonts w:eastAsia="Segoe UI" w:cs="Segoe UI"/>
                <w:sz w:val="20"/>
                <w:szCs w:val="20"/>
              </w:rPr>
            </w:pPr>
          </w:p>
        </w:tc>
        <w:tc>
          <w:tcPr>
            <w:tcW w:w="215" w:type="pct"/>
            <w:tcBorders>
              <w:top w:val="single" w:sz="8" w:space="0" w:color="BFBFBF"/>
              <w:left w:val="single" w:sz="8" w:space="0" w:color="BFBFBF"/>
              <w:bottom w:val="single" w:sz="8" w:space="0" w:color="BFBFBF"/>
              <w:right w:val="single" w:sz="8" w:space="0" w:color="BFBFBF"/>
            </w:tcBorders>
            <w:shd w:val="clear" w:color="auto" w:fill="auto"/>
          </w:tcPr>
          <w:p w14:paraId="5CE7C65C" w14:textId="77777777" w:rsidR="00E142D9" w:rsidRPr="001B61BB" w:rsidRDefault="00E142D9" w:rsidP="0059699A">
            <w:pPr>
              <w:keepNext/>
              <w:keepLines/>
              <w:spacing w:before="60" w:after="60"/>
              <w:jc w:val="center"/>
              <w:rPr>
                <w:rFonts w:eastAsia="Segoe UI" w:cs="Segoe UI"/>
                <w:sz w:val="20"/>
                <w:szCs w:val="20"/>
              </w:rPr>
            </w:pPr>
          </w:p>
        </w:tc>
        <w:tc>
          <w:tcPr>
            <w:tcW w:w="192" w:type="pct"/>
            <w:tcBorders>
              <w:top w:val="single" w:sz="8" w:space="0" w:color="BFBFBF"/>
              <w:left w:val="single" w:sz="8" w:space="0" w:color="BFBFBF"/>
              <w:bottom w:val="single" w:sz="8" w:space="0" w:color="BFBFBF"/>
              <w:right w:val="single" w:sz="8" w:space="0" w:color="BFBFBF"/>
            </w:tcBorders>
            <w:shd w:val="clear" w:color="auto" w:fill="auto"/>
          </w:tcPr>
          <w:p w14:paraId="42B18D5D" w14:textId="77777777" w:rsidR="00E142D9" w:rsidRPr="001B61BB" w:rsidRDefault="00E142D9" w:rsidP="0059699A">
            <w:pPr>
              <w:keepNext/>
              <w:keepLines/>
              <w:spacing w:before="60" w:after="60"/>
              <w:jc w:val="center"/>
              <w:rPr>
                <w:rFonts w:eastAsia="Segoe UI" w:cs="Segoe UI"/>
                <w:sz w:val="20"/>
                <w:szCs w:val="20"/>
              </w:rPr>
            </w:pPr>
          </w:p>
        </w:tc>
        <w:tc>
          <w:tcPr>
            <w:tcW w:w="264" w:type="pct"/>
            <w:tcBorders>
              <w:top w:val="single" w:sz="8" w:space="0" w:color="BFBFBF"/>
              <w:left w:val="single" w:sz="8" w:space="0" w:color="BFBFBF"/>
              <w:bottom w:val="single" w:sz="8" w:space="0" w:color="BFBFBF"/>
              <w:right w:val="single" w:sz="8" w:space="0" w:color="BFBFBF"/>
            </w:tcBorders>
            <w:shd w:val="clear" w:color="auto" w:fill="auto"/>
          </w:tcPr>
          <w:p w14:paraId="30890FBD" w14:textId="77777777" w:rsidR="00E142D9" w:rsidRPr="001B61BB" w:rsidRDefault="00E142D9" w:rsidP="0059699A">
            <w:pPr>
              <w:keepNext/>
              <w:keepLines/>
              <w:spacing w:before="60" w:after="60"/>
              <w:jc w:val="center"/>
              <w:rPr>
                <w:rFonts w:eastAsia="Segoe UI" w:cs="Segoe UI"/>
                <w:sz w:val="20"/>
                <w:szCs w:val="20"/>
              </w:rPr>
            </w:pPr>
          </w:p>
        </w:tc>
        <w:tc>
          <w:tcPr>
            <w:tcW w:w="812" w:type="pct"/>
            <w:tcBorders>
              <w:top w:val="single" w:sz="8" w:space="0" w:color="BFBFBF"/>
              <w:left w:val="single" w:sz="8" w:space="0" w:color="BFBFBF"/>
              <w:bottom w:val="single" w:sz="8" w:space="0" w:color="BFBFBF"/>
              <w:right w:val="single" w:sz="8" w:space="0" w:color="BFBFBF"/>
            </w:tcBorders>
            <w:shd w:val="clear" w:color="auto" w:fill="auto"/>
          </w:tcPr>
          <w:p w14:paraId="152D8F2B" w14:textId="77777777" w:rsidR="00E142D9" w:rsidRPr="001B61BB" w:rsidRDefault="00E142D9" w:rsidP="0059699A">
            <w:pPr>
              <w:keepNext/>
              <w:keepLines/>
              <w:spacing w:before="60" w:after="60"/>
              <w:jc w:val="center"/>
              <w:rPr>
                <w:rFonts w:eastAsia="Segoe UI" w:cs="Segoe UI"/>
                <w:sz w:val="20"/>
                <w:szCs w:val="20"/>
              </w:rPr>
            </w:pPr>
          </w:p>
        </w:tc>
        <w:tc>
          <w:tcPr>
            <w:tcW w:w="731" w:type="pct"/>
            <w:tcBorders>
              <w:top w:val="single" w:sz="8" w:space="0" w:color="BFBFBF"/>
              <w:left w:val="single" w:sz="8" w:space="0" w:color="BFBFBF"/>
              <w:bottom w:val="single" w:sz="8" w:space="0" w:color="BFBFBF"/>
              <w:right w:val="single" w:sz="8" w:space="0" w:color="BFBFBF"/>
            </w:tcBorders>
            <w:shd w:val="clear" w:color="auto" w:fill="auto"/>
          </w:tcPr>
          <w:p w14:paraId="0FDA1F5E" w14:textId="77777777" w:rsidR="00E142D9" w:rsidRPr="001B61BB" w:rsidRDefault="00E142D9" w:rsidP="0059699A">
            <w:pPr>
              <w:keepNext/>
              <w:keepLines/>
              <w:spacing w:before="60" w:after="60"/>
              <w:jc w:val="center"/>
              <w:rPr>
                <w:rFonts w:eastAsia="Segoe UI" w:cs="Segoe UI"/>
                <w:sz w:val="20"/>
                <w:szCs w:val="20"/>
              </w:rPr>
            </w:pPr>
          </w:p>
        </w:tc>
      </w:tr>
      <w:tr w:rsidR="00400145" w:rsidRPr="001B61BB" w14:paraId="13071B6C" w14:textId="77777777" w:rsidTr="00E10216">
        <w:trPr>
          <w:trHeight w:val="150"/>
        </w:trPr>
        <w:tc>
          <w:tcPr>
            <w:tcW w:w="584" w:type="pct"/>
            <w:tcBorders>
              <w:top w:val="single" w:sz="8" w:space="0" w:color="BFBFBF"/>
              <w:left w:val="single" w:sz="8" w:space="0" w:color="BFBFBF"/>
              <w:bottom w:val="single" w:sz="8" w:space="0" w:color="BFBFBF"/>
              <w:right w:val="single" w:sz="8" w:space="0" w:color="BFBFBF"/>
            </w:tcBorders>
            <w:shd w:val="clear" w:color="auto" w:fill="auto"/>
          </w:tcPr>
          <w:p w14:paraId="0C310CE7" w14:textId="77777777" w:rsidR="00E142D9" w:rsidRPr="001B61BB" w:rsidRDefault="00E142D9" w:rsidP="0059699A">
            <w:pPr>
              <w:keepNext/>
              <w:keepLines/>
              <w:spacing w:before="60" w:after="60"/>
              <w:rPr>
                <w:rFonts w:eastAsia="Calibri"/>
                <w:smallCaps/>
                <w:sz w:val="20"/>
                <w:szCs w:val="20"/>
              </w:rPr>
            </w:pPr>
          </w:p>
        </w:tc>
        <w:tc>
          <w:tcPr>
            <w:tcW w:w="589" w:type="pct"/>
            <w:tcBorders>
              <w:top w:val="single" w:sz="8" w:space="0" w:color="BFBFBF"/>
              <w:left w:val="single" w:sz="8" w:space="0" w:color="BFBFBF"/>
              <w:bottom w:val="single" w:sz="8" w:space="0" w:color="BFBFBF"/>
              <w:right w:val="single" w:sz="8" w:space="0" w:color="BFBFBF"/>
            </w:tcBorders>
            <w:shd w:val="clear" w:color="auto" w:fill="auto"/>
          </w:tcPr>
          <w:p w14:paraId="50C89FC2" w14:textId="77777777" w:rsidR="00E142D9" w:rsidRPr="001B61BB" w:rsidRDefault="00E142D9" w:rsidP="0059699A">
            <w:pPr>
              <w:keepNext/>
              <w:keepLines/>
              <w:spacing w:before="60" w:after="60"/>
              <w:jc w:val="center"/>
              <w:rPr>
                <w:rFonts w:eastAsia="Segoe UI" w:cs="Segoe UI"/>
                <w:sz w:val="20"/>
                <w:szCs w:val="20"/>
              </w:rPr>
            </w:pPr>
          </w:p>
        </w:tc>
        <w:tc>
          <w:tcPr>
            <w:tcW w:w="924" w:type="pct"/>
            <w:tcBorders>
              <w:top w:val="single" w:sz="8" w:space="0" w:color="BFBFBF"/>
              <w:left w:val="single" w:sz="8" w:space="0" w:color="BFBFBF"/>
              <w:bottom w:val="single" w:sz="8" w:space="0" w:color="BFBFBF"/>
              <w:right w:val="single" w:sz="8" w:space="0" w:color="BFBFBF"/>
            </w:tcBorders>
            <w:shd w:val="clear" w:color="auto" w:fill="auto"/>
          </w:tcPr>
          <w:p w14:paraId="3BA5A4E7" w14:textId="77777777" w:rsidR="00E142D9" w:rsidRPr="001B61BB" w:rsidRDefault="00E142D9" w:rsidP="0059699A">
            <w:pPr>
              <w:keepNext/>
              <w:keepLines/>
              <w:spacing w:before="60" w:after="60"/>
              <w:jc w:val="center"/>
              <w:rPr>
                <w:rFonts w:eastAsia="Segoe UI" w:cs="Segoe UI"/>
                <w:sz w:val="20"/>
                <w:szCs w:val="20"/>
              </w:rPr>
            </w:pPr>
          </w:p>
        </w:tc>
        <w:tc>
          <w:tcPr>
            <w:tcW w:w="304" w:type="pct"/>
            <w:tcBorders>
              <w:top w:val="single" w:sz="8" w:space="0" w:color="BFBFBF"/>
              <w:left w:val="single" w:sz="8" w:space="0" w:color="BFBFBF"/>
              <w:bottom w:val="single" w:sz="8" w:space="0" w:color="BFBFBF"/>
              <w:right w:val="single" w:sz="8" w:space="0" w:color="BFBFBF"/>
            </w:tcBorders>
            <w:shd w:val="clear" w:color="auto" w:fill="auto"/>
          </w:tcPr>
          <w:p w14:paraId="5CB3FA13" w14:textId="77777777" w:rsidR="00E142D9" w:rsidRPr="001B61BB" w:rsidRDefault="00E142D9" w:rsidP="0059699A">
            <w:pPr>
              <w:keepNext/>
              <w:keepLines/>
              <w:spacing w:before="60" w:after="60"/>
              <w:jc w:val="center"/>
              <w:rPr>
                <w:rFonts w:eastAsia="Segoe UI" w:cs="Segoe UI"/>
                <w:sz w:val="20"/>
                <w:szCs w:val="20"/>
              </w:rPr>
            </w:pPr>
          </w:p>
        </w:tc>
        <w:tc>
          <w:tcPr>
            <w:tcW w:w="191" w:type="pct"/>
            <w:tcBorders>
              <w:top w:val="single" w:sz="8" w:space="0" w:color="BFBFBF"/>
              <w:left w:val="single" w:sz="8" w:space="0" w:color="BFBFBF"/>
              <w:bottom w:val="single" w:sz="8" w:space="0" w:color="BFBFBF"/>
              <w:right w:val="single" w:sz="8" w:space="0" w:color="BFBFBF"/>
            </w:tcBorders>
            <w:shd w:val="clear" w:color="auto" w:fill="auto"/>
          </w:tcPr>
          <w:p w14:paraId="7F8D81AA" w14:textId="77777777" w:rsidR="00E142D9" w:rsidRPr="001B61BB" w:rsidRDefault="00E142D9" w:rsidP="0059699A">
            <w:pPr>
              <w:keepNext/>
              <w:keepLines/>
              <w:spacing w:before="60" w:after="60"/>
              <w:jc w:val="center"/>
              <w:rPr>
                <w:rFonts w:eastAsia="Segoe UI" w:cs="Segoe UI"/>
                <w:sz w:val="20"/>
                <w:szCs w:val="20"/>
              </w:rPr>
            </w:pPr>
          </w:p>
        </w:tc>
        <w:tc>
          <w:tcPr>
            <w:tcW w:w="193" w:type="pct"/>
            <w:tcBorders>
              <w:top w:val="single" w:sz="8" w:space="0" w:color="BFBFBF"/>
              <w:left w:val="single" w:sz="8" w:space="0" w:color="BFBFBF"/>
              <w:bottom w:val="single" w:sz="8" w:space="0" w:color="BFBFBF"/>
              <w:right w:val="single" w:sz="8" w:space="0" w:color="BFBFBF"/>
            </w:tcBorders>
            <w:shd w:val="clear" w:color="auto" w:fill="auto"/>
          </w:tcPr>
          <w:p w14:paraId="72B463FF" w14:textId="77777777" w:rsidR="00E142D9" w:rsidRPr="001B61BB" w:rsidRDefault="00E142D9" w:rsidP="0059699A">
            <w:pPr>
              <w:keepNext/>
              <w:keepLines/>
              <w:spacing w:before="60" w:after="60"/>
              <w:jc w:val="center"/>
              <w:rPr>
                <w:rFonts w:eastAsia="Segoe UI" w:cs="Segoe UI"/>
                <w:sz w:val="20"/>
                <w:szCs w:val="20"/>
              </w:rPr>
            </w:pPr>
          </w:p>
        </w:tc>
        <w:tc>
          <w:tcPr>
            <w:tcW w:w="215" w:type="pct"/>
            <w:tcBorders>
              <w:top w:val="single" w:sz="8" w:space="0" w:color="BFBFBF"/>
              <w:left w:val="single" w:sz="8" w:space="0" w:color="BFBFBF"/>
              <w:bottom w:val="single" w:sz="8" w:space="0" w:color="BFBFBF"/>
              <w:right w:val="single" w:sz="8" w:space="0" w:color="BFBFBF"/>
            </w:tcBorders>
            <w:shd w:val="clear" w:color="auto" w:fill="auto"/>
          </w:tcPr>
          <w:p w14:paraId="0D6D169D" w14:textId="77777777" w:rsidR="00E142D9" w:rsidRPr="001B61BB" w:rsidRDefault="00E142D9" w:rsidP="0059699A">
            <w:pPr>
              <w:keepNext/>
              <w:keepLines/>
              <w:spacing w:before="60" w:after="60"/>
              <w:jc w:val="center"/>
              <w:rPr>
                <w:rFonts w:eastAsia="Segoe UI" w:cs="Segoe UI"/>
                <w:sz w:val="20"/>
                <w:szCs w:val="20"/>
              </w:rPr>
            </w:pPr>
          </w:p>
        </w:tc>
        <w:tc>
          <w:tcPr>
            <w:tcW w:w="192" w:type="pct"/>
            <w:tcBorders>
              <w:top w:val="single" w:sz="8" w:space="0" w:color="BFBFBF"/>
              <w:left w:val="single" w:sz="8" w:space="0" w:color="BFBFBF"/>
              <w:bottom w:val="single" w:sz="8" w:space="0" w:color="BFBFBF"/>
              <w:right w:val="single" w:sz="8" w:space="0" w:color="BFBFBF"/>
            </w:tcBorders>
            <w:shd w:val="clear" w:color="auto" w:fill="auto"/>
          </w:tcPr>
          <w:p w14:paraId="2D094AF2" w14:textId="77777777" w:rsidR="00E142D9" w:rsidRPr="001B61BB" w:rsidRDefault="00E142D9" w:rsidP="0059699A">
            <w:pPr>
              <w:keepNext/>
              <w:keepLines/>
              <w:spacing w:before="60" w:after="60"/>
              <w:jc w:val="center"/>
              <w:rPr>
                <w:rFonts w:eastAsia="Segoe UI" w:cs="Segoe UI"/>
                <w:sz w:val="20"/>
                <w:szCs w:val="20"/>
              </w:rPr>
            </w:pPr>
          </w:p>
        </w:tc>
        <w:tc>
          <w:tcPr>
            <w:tcW w:w="264" w:type="pct"/>
            <w:tcBorders>
              <w:top w:val="single" w:sz="8" w:space="0" w:color="BFBFBF"/>
              <w:left w:val="single" w:sz="8" w:space="0" w:color="BFBFBF"/>
              <w:bottom w:val="single" w:sz="8" w:space="0" w:color="BFBFBF"/>
              <w:right w:val="single" w:sz="8" w:space="0" w:color="BFBFBF"/>
            </w:tcBorders>
            <w:shd w:val="clear" w:color="auto" w:fill="auto"/>
          </w:tcPr>
          <w:p w14:paraId="588CEB72" w14:textId="77777777" w:rsidR="00E142D9" w:rsidRPr="001B61BB" w:rsidRDefault="00E142D9" w:rsidP="0059699A">
            <w:pPr>
              <w:keepNext/>
              <w:keepLines/>
              <w:spacing w:before="60" w:after="60"/>
              <w:jc w:val="center"/>
              <w:rPr>
                <w:rFonts w:eastAsia="Segoe UI" w:cs="Segoe UI"/>
                <w:sz w:val="20"/>
                <w:szCs w:val="20"/>
              </w:rPr>
            </w:pPr>
          </w:p>
        </w:tc>
        <w:tc>
          <w:tcPr>
            <w:tcW w:w="812" w:type="pct"/>
            <w:tcBorders>
              <w:top w:val="single" w:sz="8" w:space="0" w:color="BFBFBF"/>
              <w:left w:val="single" w:sz="8" w:space="0" w:color="BFBFBF"/>
              <w:bottom w:val="single" w:sz="8" w:space="0" w:color="BFBFBF"/>
              <w:right w:val="single" w:sz="8" w:space="0" w:color="BFBFBF"/>
            </w:tcBorders>
            <w:shd w:val="clear" w:color="auto" w:fill="auto"/>
          </w:tcPr>
          <w:p w14:paraId="313163D5" w14:textId="77777777" w:rsidR="00E142D9" w:rsidRPr="001B61BB" w:rsidRDefault="00E142D9" w:rsidP="0059699A">
            <w:pPr>
              <w:keepNext/>
              <w:keepLines/>
              <w:spacing w:before="60" w:after="60"/>
              <w:jc w:val="center"/>
              <w:rPr>
                <w:rFonts w:eastAsia="Segoe UI" w:cs="Segoe UI"/>
                <w:sz w:val="20"/>
                <w:szCs w:val="20"/>
              </w:rPr>
            </w:pPr>
          </w:p>
        </w:tc>
        <w:tc>
          <w:tcPr>
            <w:tcW w:w="731" w:type="pct"/>
            <w:tcBorders>
              <w:top w:val="single" w:sz="8" w:space="0" w:color="BFBFBF"/>
              <w:left w:val="single" w:sz="8" w:space="0" w:color="BFBFBF"/>
              <w:bottom w:val="single" w:sz="8" w:space="0" w:color="BFBFBF"/>
              <w:right w:val="single" w:sz="8" w:space="0" w:color="BFBFBF"/>
            </w:tcBorders>
            <w:shd w:val="clear" w:color="auto" w:fill="auto"/>
          </w:tcPr>
          <w:p w14:paraId="4ECFC00A" w14:textId="77777777" w:rsidR="00E142D9" w:rsidRPr="001B61BB" w:rsidRDefault="00E142D9" w:rsidP="0059699A">
            <w:pPr>
              <w:keepNext/>
              <w:keepLines/>
              <w:spacing w:before="60" w:after="60"/>
              <w:jc w:val="center"/>
              <w:rPr>
                <w:rFonts w:eastAsia="Segoe UI" w:cs="Segoe UI"/>
                <w:sz w:val="20"/>
                <w:szCs w:val="20"/>
              </w:rPr>
            </w:pPr>
          </w:p>
        </w:tc>
      </w:tr>
    </w:tbl>
    <w:p w14:paraId="12B3C545" w14:textId="5166B56A" w:rsidR="00E142D9" w:rsidRPr="002E7790" w:rsidRDefault="00E142D9" w:rsidP="0020554C">
      <w:pPr>
        <w:keepNext/>
        <w:keepLines/>
        <w:spacing w:before="120" w:after="240"/>
        <w:rPr>
          <w:rFonts w:eastAsia="Verdana" w:cs="Segoe UI"/>
          <w:i/>
          <w:iCs/>
          <w:lang w:val="es-ES"/>
        </w:rPr>
      </w:pPr>
      <w:r>
        <w:rPr>
          <w:i/>
          <w:iCs/>
          <w:lang w:val="es-ES"/>
        </w:rPr>
        <w:t>Tipo de estación: S: en superficie, A: en altitud, M: marina;</w:t>
      </w:r>
      <w:r>
        <w:rPr>
          <w:lang w:val="es-ES"/>
        </w:rPr>
        <w:t xml:space="preserve"> </w:t>
      </w:r>
      <w:r>
        <w:rPr>
          <w:i/>
          <w:iCs/>
          <w:lang w:val="es-ES"/>
        </w:rPr>
        <w:t>Propietario de la estación: SMHN o tercero;</w:t>
      </w:r>
      <w:r>
        <w:rPr>
          <w:lang w:val="es-ES"/>
        </w:rPr>
        <w:t xml:space="preserve"> </w:t>
      </w:r>
      <w:r>
        <w:rPr>
          <w:i/>
          <w:iCs/>
          <w:lang w:val="es-ES"/>
        </w:rPr>
        <w:t>Variables: SLP: presión atmosférica;</w:t>
      </w:r>
      <w:r>
        <w:rPr>
          <w:lang w:val="es-ES"/>
        </w:rPr>
        <w:t xml:space="preserve"> </w:t>
      </w:r>
      <w:r>
        <w:rPr>
          <w:i/>
          <w:iCs/>
          <w:lang w:val="es-ES"/>
        </w:rPr>
        <w:t>T: temperatura;</w:t>
      </w:r>
      <w:r>
        <w:rPr>
          <w:lang w:val="es-ES"/>
        </w:rPr>
        <w:t xml:space="preserve"> </w:t>
      </w:r>
      <w:r>
        <w:rPr>
          <w:i/>
          <w:iCs/>
          <w:lang w:val="es-ES"/>
        </w:rPr>
        <w:t>H: humedad;</w:t>
      </w:r>
      <w:r>
        <w:rPr>
          <w:lang w:val="es-ES"/>
        </w:rPr>
        <w:t xml:space="preserve"> </w:t>
      </w:r>
      <w:r>
        <w:rPr>
          <w:i/>
          <w:iCs/>
          <w:lang w:val="es-ES"/>
        </w:rPr>
        <w:t>V: viento;</w:t>
      </w:r>
      <w:r>
        <w:rPr>
          <w:lang w:val="es-ES"/>
        </w:rPr>
        <w:t xml:space="preserve"> </w:t>
      </w:r>
      <w:r>
        <w:rPr>
          <w:i/>
          <w:iCs/>
          <w:lang w:val="es-ES"/>
        </w:rPr>
        <w:t>P:</w:t>
      </w:r>
      <w:r w:rsidR="0020554C">
        <w:rPr>
          <w:i/>
          <w:iCs/>
          <w:lang w:val="es-ES"/>
        </w:rPr>
        <w:t> </w:t>
      </w:r>
      <w:r>
        <w:rPr>
          <w:i/>
          <w:iCs/>
          <w:lang w:val="es-ES"/>
        </w:rPr>
        <w:t>precipitaciones;</w:t>
      </w:r>
      <w:r>
        <w:rPr>
          <w:lang w:val="es-ES"/>
        </w:rPr>
        <w:t xml:space="preserve"> </w:t>
      </w:r>
      <w:r>
        <w:rPr>
          <w:i/>
          <w:iCs/>
          <w:lang w:val="es-ES"/>
        </w:rPr>
        <w:t>SD: espesor de la nieve;</w:t>
      </w:r>
      <w:r>
        <w:rPr>
          <w:lang w:val="es-ES"/>
        </w:rPr>
        <w:t xml:space="preserve"> </w:t>
      </w:r>
      <w:r>
        <w:rPr>
          <w:i/>
          <w:iCs/>
          <w:lang w:val="es-ES"/>
        </w:rPr>
        <w:t>Ciclo de presentación de informes: número de informes de observación intercambiados internacionalmente por día (0–24);</w:t>
      </w:r>
      <w:r>
        <w:rPr>
          <w:lang w:val="es-ES"/>
        </w:rPr>
        <w:t xml:space="preserve"> </w:t>
      </w:r>
      <w:r>
        <w:rPr>
          <w:i/>
          <w:iCs/>
          <w:lang w:val="es-ES"/>
        </w:rPr>
        <w:t>resumen de si la estación es conforme con la GBON (Sí/No)</w:t>
      </w:r>
    </w:p>
    <w:p w14:paraId="15A3A30A" w14:textId="77777777" w:rsidR="00E142D9" w:rsidRPr="002E7790" w:rsidRDefault="00E142D9" w:rsidP="0020554C">
      <w:pPr>
        <w:spacing w:after="240" w:line="240" w:lineRule="exact"/>
        <w:rPr>
          <w:rFonts w:eastAsia="Calibri"/>
          <w:b/>
          <w:bCs/>
          <w:lang w:val="es-ES"/>
        </w:rPr>
      </w:pPr>
      <w:r>
        <w:rPr>
          <w:b/>
          <w:bCs/>
          <w:lang w:val="es-ES"/>
        </w:rPr>
        <w:t>Etapa 3 - Resultados del análisis de carencias de la GBON</w:t>
      </w:r>
    </w:p>
    <w:p w14:paraId="41B2683C" w14:textId="7C0712B7" w:rsidR="00E142D9" w:rsidRPr="002E7790" w:rsidRDefault="00E142D9" w:rsidP="0020554C">
      <w:pPr>
        <w:spacing w:after="240" w:line="240" w:lineRule="exact"/>
        <w:rPr>
          <w:rFonts w:eastAsia="Calibri" w:cs="Segoe UI"/>
          <w:lang w:val="es-ES"/>
        </w:rPr>
      </w:pPr>
      <w:r>
        <w:rPr>
          <w:lang w:val="es-ES"/>
        </w:rPr>
        <w:t xml:space="preserve">Los resultados de las etapas 1 y 2 se resumen en el </w:t>
      </w:r>
      <w:r w:rsidR="004D664F">
        <w:rPr>
          <w:lang w:val="es-ES"/>
        </w:rPr>
        <w:t>c</w:t>
      </w:r>
      <w:r>
        <w:rPr>
          <w:lang w:val="es-ES"/>
        </w:rPr>
        <w:t>uadro 5.5: se determina el número de estaciones requeridas según las disposiciones de la GBON (meta de la GBON), el número de estaciones existentes que cumplen los requisitos de la GBON y las estaciones de la GBON nuevas y mejoradas necesarias para las redes en superficie, en altitud y marinas.</w:t>
      </w:r>
    </w:p>
    <w:p w14:paraId="7455A913" w14:textId="21FC8356" w:rsidR="00E142D9" w:rsidRPr="002E7790" w:rsidRDefault="00E142D9" w:rsidP="005A3168">
      <w:pPr>
        <w:spacing w:after="240" w:line="240" w:lineRule="exact"/>
        <w:contextualSpacing/>
        <w:rPr>
          <w:rFonts w:eastAsia="Calibri" w:cs="Segoe UI"/>
          <w:lang w:val="es-ES"/>
        </w:rPr>
      </w:pPr>
      <w:r>
        <w:rPr>
          <w:lang w:val="es-ES"/>
        </w:rPr>
        <w:lastRenderedPageBreak/>
        <w:t>Se elabora un mapa de las estaciones existentes con la ubicación de las carencias indicada en círculos de 200 km (en superficie) y 500 km (en altitud y marinas) de radio alrededor de las estaciones existentes.</w:t>
      </w:r>
    </w:p>
    <w:p w14:paraId="15443198" w14:textId="77777777" w:rsidR="00E142D9" w:rsidRPr="002E7790" w:rsidRDefault="00E142D9" w:rsidP="0059699A">
      <w:pPr>
        <w:spacing w:after="240" w:line="240" w:lineRule="exact"/>
        <w:contextualSpacing/>
        <w:rPr>
          <w:rFonts w:eastAsia="Calibri" w:cs="Segoe UI"/>
          <w:lang w:val="es-ES"/>
        </w:rPr>
      </w:pPr>
    </w:p>
    <w:p w14:paraId="742F5913" w14:textId="22B2D7F2" w:rsidR="00651E78" w:rsidRDefault="00651E78" w:rsidP="0059699A">
      <w:pPr>
        <w:spacing w:after="240" w:line="240" w:lineRule="exact"/>
        <w:jc w:val="center"/>
        <w:rPr>
          <w:b/>
          <w:bCs/>
          <w:lang w:val="es-ES"/>
        </w:rPr>
      </w:pPr>
      <w:r>
        <w:rPr>
          <w:b/>
          <w:bCs/>
          <w:lang w:val="es-ES"/>
        </w:rPr>
        <w:t>Cuadro 5.5.</w:t>
      </w:r>
      <w:r>
        <w:rPr>
          <w:lang w:val="es-ES"/>
        </w:rPr>
        <w:t xml:space="preserve"> </w:t>
      </w:r>
      <w:r>
        <w:rPr>
          <w:b/>
          <w:bCs/>
          <w:lang w:val="es-ES"/>
        </w:rPr>
        <w:t>Resultados del análisis de carencias de la GBON a nivel nacional</w:t>
      </w:r>
    </w:p>
    <w:tbl>
      <w:tblPr>
        <w:tblStyle w:val="TableGrid1"/>
        <w:tblW w:w="5000" w:type="pct"/>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A0" w:firstRow="1" w:lastRow="0" w:firstColumn="1" w:lastColumn="0" w:noHBand="0" w:noVBand="1"/>
      </w:tblPr>
      <w:tblGrid>
        <w:gridCol w:w="2908"/>
        <w:gridCol w:w="1753"/>
        <w:gridCol w:w="1753"/>
        <w:gridCol w:w="1608"/>
        <w:gridCol w:w="1597"/>
      </w:tblGrid>
      <w:tr w:rsidR="00E142D9" w:rsidRPr="00AE4BEE" w14:paraId="1E3E5B13" w14:textId="77777777" w:rsidTr="002D6853">
        <w:trPr>
          <w:trHeight w:val="491"/>
        </w:trPr>
        <w:tc>
          <w:tcPr>
            <w:tcW w:w="1512" w:type="pct"/>
            <w:vMerge w:val="restart"/>
            <w:shd w:val="clear" w:color="auto" w:fill="auto"/>
            <w:vAlign w:val="center"/>
          </w:tcPr>
          <w:p w14:paraId="57792B55" w14:textId="77777777" w:rsidR="00E142D9" w:rsidRPr="006A33B8" w:rsidRDefault="00E142D9" w:rsidP="00C90BAB">
            <w:pPr>
              <w:spacing w:before="60" w:after="60"/>
              <w:jc w:val="center"/>
              <w:rPr>
                <w:sz w:val="20"/>
                <w:szCs w:val="20"/>
              </w:rPr>
            </w:pPr>
            <w:r w:rsidRPr="006A33B8">
              <w:rPr>
                <w:sz w:val="20"/>
                <w:szCs w:val="20"/>
                <w:lang w:val="es-ES"/>
              </w:rPr>
              <w:t>Requisitos de la GBON</w:t>
            </w:r>
          </w:p>
        </w:tc>
        <w:tc>
          <w:tcPr>
            <w:tcW w:w="911" w:type="pct"/>
            <w:vMerge w:val="restart"/>
            <w:shd w:val="clear" w:color="auto" w:fill="auto"/>
            <w:vAlign w:val="center"/>
          </w:tcPr>
          <w:p w14:paraId="780120DB" w14:textId="3DCF8649" w:rsidR="00E142D9" w:rsidRPr="006A33B8" w:rsidRDefault="00E142D9" w:rsidP="00C90BAB">
            <w:pPr>
              <w:spacing w:before="60" w:after="60"/>
              <w:jc w:val="center"/>
              <w:rPr>
                <w:sz w:val="20"/>
                <w:szCs w:val="20"/>
              </w:rPr>
            </w:pPr>
            <w:r w:rsidRPr="006A33B8">
              <w:rPr>
                <w:sz w:val="20"/>
                <w:szCs w:val="20"/>
                <w:lang w:val="es-ES"/>
              </w:rPr>
              <w:t>Meta de la GBON</w:t>
            </w:r>
          </w:p>
        </w:tc>
        <w:tc>
          <w:tcPr>
            <w:tcW w:w="911" w:type="pct"/>
            <w:vMerge w:val="restart"/>
            <w:shd w:val="clear" w:color="auto" w:fill="auto"/>
            <w:vAlign w:val="center"/>
          </w:tcPr>
          <w:p w14:paraId="5E567668" w14:textId="77777777" w:rsidR="00E142D9" w:rsidRPr="006A33B8" w:rsidRDefault="00E142D9" w:rsidP="00C90BAB">
            <w:pPr>
              <w:spacing w:before="60" w:after="60"/>
              <w:jc w:val="center"/>
              <w:rPr>
                <w:sz w:val="20"/>
                <w:szCs w:val="20"/>
                <w:lang w:val="es-ES"/>
              </w:rPr>
            </w:pPr>
            <w:r w:rsidRPr="006A33B8">
              <w:rPr>
                <w:sz w:val="20"/>
                <w:szCs w:val="20"/>
                <w:lang w:val="es-ES"/>
              </w:rPr>
              <w:t xml:space="preserve">Estaciones conformes con la GBON </w:t>
            </w:r>
          </w:p>
        </w:tc>
        <w:tc>
          <w:tcPr>
            <w:tcW w:w="1666" w:type="pct"/>
            <w:gridSpan w:val="2"/>
            <w:shd w:val="clear" w:color="auto" w:fill="auto"/>
            <w:vAlign w:val="center"/>
          </w:tcPr>
          <w:p w14:paraId="36094F92" w14:textId="77777777" w:rsidR="00E142D9" w:rsidRPr="006A33B8" w:rsidRDefault="00E142D9" w:rsidP="00C90BAB">
            <w:pPr>
              <w:spacing w:before="60" w:after="60"/>
              <w:jc w:val="center"/>
              <w:rPr>
                <w:sz w:val="20"/>
                <w:szCs w:val="20"/>
                <w:lang w:val="es-ES"/>
              </w:rPr>
            </w:pPr>
            <w:r w:rsidRPr="006A33B8">
              <w:rPr>
                <w:sz w:val="20"/>
                <w:szCs w:val="20"/>
                <w:lang w:val="es-ES"/>
              </w:rPr>
              <w:t>Estaciones necesarias según los requisitos de la GBON</w:t>
            </w:r>
          </w:p>
        </w:tc>
      </w:tr>
      <w:tr w:rsidR="00E142D9" w:rsidRPr="006A33B8" w14:paraId="7C059656" w14:textId="77777777" w:rsidTr="002D6853">
        <w:trPr>
          <w:trHeight w:val="302"/>
        </w:trPr>
        <w:tc>
          <w:tcPr>
            <w:tcW w:w="1512" w:type="pct"/>
            <w:vMerge/>
            <w:shd w:val="clear" w:color="auto" w:fill="auto"/>
            <w:vAlign w:val="center"/>
          </w:tcPr>
          <w:p w14:paraId="5938A2DF" w14:textId="77777777" w:rsidR="00E142D9" w:rsidRPr="006A33B8" w:rsidRDefault="00E142D9" w:rsidP="00C90BAB">
            <w:pPr>
              <w:spacing w:before="60" w:after="60"/>
              <w:jc w:val="center"/>
              <w:rPr>
                <w:sz w:val="20"/>
                <w:szCs w:val="20"/>
                <w:lang w:val="es-ES"/>
              </w:rPr>
            </w:pPr>
          </w:p>
        </w:tc>
        <w:tc>
          <w:tcPr>
            <w:tcW w:w="911" w:type="pct"/>
            <w:vMerge/>
            <w:shd w:val="clear" w:color="auto" w:fill="auto"/>
            <w:vAlign w:val="center"/>
          </w:tcPr>
          <w:p w14:paraId="6CCD1CFA" w14:textId="77777777" w:rsidR="00E142D9" w:rsidRPr="006A33B8" w:rsidRDefault="00E142D9" w:rsidP="00C90BAB">
            <w:pPr>
              <w:spacing w:before="60" w:after="60"/>
              <w:jc w:val="center"/>
              <w:rPr>
                <w:sz w:val="20"/>
                <w:szCs w:val="20"/>
                <w:lang w:val="es-ES"/>
              </w:rPr>
            </w:pPr>
          </w:p>
        </w:tc>
        <w:tc>
          <w:tcPr>
            <w:tcW w:w="911" w:type="pct"/>
            <w:vMerge/>
            <w:shd w:val="clear" w:color="auto" w:fill="auto"/>
          </w:tcPr>
          <w:p w14:paraId="13DD861A" w14:textId="77777777" w:rsidR="00E142D9" w:rsidRPr="006A33B8" w:rsidRDefault="00E142D9" w:rsidP="00C90BAB">
            <w:pPr>
              <w:spacing w:before="60" w:after="60"/>
              <w:jc w:val="center"/>
              <w:rPr>
                <w:sz w:val="20"/>
                <w:szCs w:val="20"/>
                <w:lang w:val="es-ES"/>
              </w:rPr>
            </w:pPr>
          </w:p>
        </w:tc>
        <w:tc>
          <w:tcPr>
            <w:tcW w:w="836" w:type="pct"/>
            <w:tcBorders>
              <w:right w:val="single" w:sz="8" w:space="0" w:color="A6A6A6"/>
            </w:tcBorders>
            <w:shd w:val="clear" w:color="auto" w:fill="auto"/>
            <w:vAlign w:val="center"/>
          </w:tcPr>
          <w:p w14:paraId="346E60D9" w14:textId="77777777" w:rsidR="00E142D9" w:rsidRPr="006A33B8" w:rsidRDefault="00E142D9" w:rsidP="00C90BAB">
            <w:pPr>
              <w:spacing w:before="60" w:after="60"/>
              <w:jc w:val="center"/>
              <w:rPr>
                <w:sz w:val="20"/>
                <w:szCs w:val="20"/>
              </w:rPr>
            </w:pPr>
            <w:r w:rsidRPr="006A33B8">
              <w:rPr>
                <w:sz w:val="20"/>
                <w:szCs w:val="20"/>
                <w:lang w:val="es-ES"/>
              </w:rPr>
              <w:t>Nuevas</w:t>
            </w:r>
          </w:p>
        </w:tc>
        <w:tc>
          <w:tcPr>
            <w:tcW w:w="830" w:type="pct"/>
            <w:tcBorders>
              <w:left w:val="single" w:sz="8" w:space="0" w:color="A6A6A6"/>
            </w:tcBorders>
            <w:shd w:val="clear" w:color="auto" w:fill="auto"/>
            <w:vAlign w:val="center"/>
          </w:tcPr>
          <w:p w14:paraId="098630AA" w14:textId="77777777" w:rsidR="00E142D9" w:rsidRPr="006A33B8" w:rsidRDefault="00E142D9" w:rsidP="00C90BAB">
            <w:pPr>
              <w:spacing w:before="60" w:after="60"/>
              <w:jc w:val="center"/>
              <w:rPr>
                <w:sz w:val="20"/>
                <w:szCs w:val="20"/>
              </w:rPr>
            </w:pPr>
            <w:r w:rsidRPr="006A33B8">
              <w:rPr>
                <w:sz w:val="20"/>
                <w:szCs w:val="20"/>
                <w:lang w:val="es-ES"/>
              </w:rPr>
              <w:t>Mejoradas</w:t>
            </w:r>
          </w:p>
        </w:tc>
      </w:tr>
      <w:tr w:rsidR="00E142D9" w:rsidRPr="00AE4BEE" w14:paraId="19B6CF96" w14:textId="77777777" w:rsidTr="002D6853">
        <w:trPr>
          <w:trHeight w:val="765"/>
        </w:trPr>
        <w:tc>
          <w:tcPr>
            <w:tcW w:w="1512" w:type="pct"/>
            <w:shd w:val="clear" w:color="auto" w:fill="auto"/>
          </w:tcPr>
          <w:p w14:paraId="35C83F31" w14:textId="0129A2E1" w:rsidR="00E142D9" w:rsidRPr="006A33B8" w:rsidRDefault="00292F42" w:rsidP="00C90BAB">
            <w:pPr>
              <w:spacing w:before="60" w:after="60"/>
              <w:rPr>
                <w:sz w:val="20"/>
                <w:szCs w:val="20"/>
                <w:lang w:val="es-ES"/>
              </w:rPr>
            </w:pPr>
            <w:r w:rsidRPr="006A33B8">
              <w:rPr>
                <w:sz w:val="20"/>
                <w:szCs w:val="20"/>
                <w:lang w:val="es-ES"/>
              </w:rPr>
              <w:t>Estaciones de observación en superficie, densidad normal, 200 km</w:t>
            </w:r>
          </w:p>
        </w:tc>
        <w:tc>
          <w:tcPr>
            <w:tcW w:w="911" w:type="pct"/>
            <w:shd w:val="clear" w:color="auto" w:fill="auto"/>
          </w:tcPr>
          <w:p w14:paraId="5E2D1AEF" w14:textId="77777777" w:rsidR="00E142D9" w:rsidRPr="006A33B8" w:rsidRDefault="00E142D9" w:rsidP="00C90BAB">
            <w:pPr>
              <w:spacing w:before="60" w:after="60"/>
              <w:rPr>
                <w:rFonts w:eastAsia="Verdana" w:cs="Segoe UI"/>
                <w:sz w:val="20"/>
                <w:szCs w:val="20"/>
                <w:lang w:val="es-ES"/>
              </w:rPr>
            </w:pPr>
          </w:p>
        </w:tc>
        <w:tc>
          <w:tcPr>
            <w:tcW w:w="911" w:type="pct"/>
            <w:shd w:val="clear" w:color="auto" w:fill="auto"/>
          </w:tcPr>
          <w:p w14:paraId="036F1E64" w14:textId="77777777" w:rsidR="00E142D9" w:rsidRPr="006A33B8" w:rsidRDefault="00E142D9" w:rsidP="00C90BAB">
            <w:pPr>
              <w:spacing w:before="60" w:after="60"/>
              <w:rPr>
                <w:rFonts w:eastAsia="Verdana" w:cs="Segoe UI"/>
                <w:sz w:val="20"/>
                <w:szCs w:val="20"/>
                <w:lang w:val="es-ES"/>
              </w:rPr>
            </w:pPr>
          </w:p>
        </w:tc>
        <w:tc>
          <w:tcPr>
            <w:tcW w:w="836" w:type="pct"/>
            <w:tcBorders>
              <w:right w:val="single" w:sz="8" w:space="0" w:color="A6A6A6"/>
            </w:tcBorders>
            <w:shd w:val="clear" w:color="auto" w:fill="auto"/>
          </w:tcPr>
          <w:p w14:paraId="58ED9474" w14:textId="77777777" w:rsidR="00E142D9" w:rsidRPr="006A33B8" w:rsidRDefault="00E142D9" w:rsidP="00C90BAB">
            <w:pPr>
              <w:spacing w:before="60" w:after="60"/>
              <w:rPr>
                <w:rFonts w:cs="Segoe UI"/>
                <w:b/>
                <w:sz w:val="20"/>
                <w:szCs w:val="20"/>
                <w:lang w:val="es-ES"/>
              </w:rPr>
            </w:pPr>
          </w:p>
        </w:tc>
        <w:tc>
          <w:tcPr>
            <w:tcW w:w="830" w:type="pct"/>
            <w:tcBorders>
              <w:left w:val="single" w:sz="8" w:space="0" w:color="A6A6A6"/>
            </w:tcBorders>
            <w:shd w:val="clear" w:color="auto" w:fill="auto"/>
          </w:tcPr>
          <w:p w14:paraId="2D6513D6" w14:textId="77777777" w:rsidR="00E142D9" w:rsidRPr="006A33B8" w:rsidRDefault="00E142D9" w:rsidP="00C90BAB">
            <w:pPr>
              <w:spacing w:before="60" w:after="60"/>
              <w:rPr>
                <w:rFonts w:cs="Segoe UI"/>
                <w:b/>
                <w:sz w:val="20"/>
                <w:szCs w:val="20"/>
                <w:lang w:val="es-ES"/>
              </w:rPr>
            </w:pPr>
          </w:p>
        </w:tc>
      </w:tr>
      <w:tr w:rsidR="00E142D9" w:rsidRPr="00AE4BEE" w14:paraId="4DF869B4" w14:textId="77777777" w:rsidTr="002D6853">
        <w:trPr>
          <w:trHeight w:val="472"/>
        </w:trPr>
        <w:tc>
          <w:tcPr>
            <w:tcW w:w="1512" w:type="pct"/>
            <w:shd w:val="clear" w:color="auto" w:fill="auto"/>
          </w:tcPr>
          <w:p w14:paraId="4B02593C" w14:textId="0FC5880D" w:rsidR="00E142D9" w:rsidRPr="006A33B8" w:rsidRDefault="00292F42" w:rsidP="00C90BAB">
            <w:pPr>
              <w:spacing w:before="60" w:after="60"/>
              <w:rPr>
                <w:sz w:val="20"/>
                <w:szCs w:val="20"/>
                <w:lang w:val="es-ES"/>
              </w:rPr>
            </w:pPr>
            <w:r w:rsidRPr="006A33B8">
              <w:rPr>
                <w:sz w:val="20"/>
                <w:szCs w:val="20"/>
                <w:lang w:val="es-ES"/>
              </w:rPr>
              <w:t>Estaciones de observación en superficie, densidad alta, 100 km</w:t>
            </w:r>
          </w:p>
        </w:tc>
        <w:tc>
          <w:tcPr>
            <w:tcW w:w="911" w:type="pct"/>
            <w:shd w:val="clear" w:color="auto" w:fill="auto"/>
          </w:tcPr>
          <w:p w14:paraId="34263867" w14:textId="77777777" w:rsidR="00E142D9" w:rsidRPr="006A33B8" w:rsidRDefault="00E142D9" w:rsidP="00C90BAB">
            <w:pPr>
              <w:spacing w:before="60" w:after="60"/>
              <w:rPr>
                <w:rFonts w:eastAsia="Verdana" w:cs="Segoe UI"/>
                <w:sz w:val="20"/>
                <w:szCs w:val="20"/>
                <w:lang w:val="es-ES"/>
              </w:rPr>
            </w:pPr>
          </w:p>
        </w:tc>
        <w:tc>
          <w:tcPr>
            <w:tcW w:w="911" w:type="pct"/>
            <w:shd w:val="clear" w:color="auto" w:fill="auto"/>
          </w:tcPr>
          <w:p w14:paraId="394E8695" w14:textId="77777777" w:rsidR="00E142D9" w:rsidRPr="006A33B8" w:rsidRDefault="00E142D9" w:rsidP="00C90BAB">
            <w:pPr>
              <w:spacing w:before="60" w:after="60"/>
              <w:rPr>
                <w:rFonts w:eastAsia="Verdana" w:cs="Segoe UI"/>
                <w:sz w:val="20"/>
                <w:szCs w:val="20"/>
                <w:lang w:val="es-ES"/>
              </w:rPr>
            </w:pPr>
          </w:p>
        </w:tc>
        <w:tc>
          <w:tcPr>
            <w:tcW w:w="836" w:type="pct"/>
            <w:tcBorders>
              <w:right w:val="single" w:sz="8" w:space="0" w:color="A6A6A6"/>
            </w:tcBorders>
            <w:shd w:val="clear" w:color="auto" w:fill="auto"/>
          </w:tcPr>
          <w:p w14:paraId="148DE0B1" w14:textId="77777777" w:rsidR="00E142D9" w:rsidRPr="006A33B8" w:rsidRDefault="00E142D9" w:rsidP="00C90BAB">
            <w:pPr>
              <w:spacing w:before="60" w:after="60"/>
              <w:rPr>
                <w:rFonts w:eastAsia="Verdana" w:cs="Segoe UI"/>
                <w:sz w:val="20"/>
                <w:szCs w:val="20"/>
                <w:lang w:val="es-ES"/>
              </w:rPr>
            </w:pPr>
          </w:p>
        </w:tc>
        <w:tc>
          <w:tcPr>
            <w:tcW w:w="830" w:type="pct"/>
            <w:tcBorders>
              <w:left w:val="single" w:sz="8" w:space="0" w:color="A6A6A6"/>
            </w:tcBorders>
            <w:shd w:val="clear" w:color="auto" w:fill="auto"/>
          </w:tcPr>
          <w:p w14:paraId="21F1A29F" w14:textId="77777777" w:rsidR="00E142D9" w:rsidRPr="006A33B8" w:rsidRDefault="00E142D9" w:rsidP="00C90BAB">
            <w:pPr>
              <w:spacing w:before="60" w:after="60"/>
              <w:rPr>
                <w:rFonts w:eastAsia="Verdana" w:cs="Segoe UI"/>
                <w:sz w:val="20"/>
                <w:szCs w:val="20"/>
                <w:lang w:val="es-ES"/>
              </w:rPr>
            </w:pPr>
          </w:p>
        </w:tc>
      </w:tr>
      <w:tr w:rsidR="00211320" w:rsidRPr="00AE4BEE" w14:paraId="0CEFE8A9" w14:textId="77777777" w:rsidTr="002D6853">
        <w:trPr>
          <w:trHeight w:val="693"/>
        </w:trPr>
        <w:tc>
          <w:tcPr>
            <w:tcW w:w="1512" w:type="pct"/>
            <w:shd w:val="clear" w:color="auto" w:fill="auto"/>
          </w:tcPr>
          <w:p w14:paraId="4DFC0438" w14:textId="2D040BF7" w:rsidR="00211320" w:rsidRPr="006A33B8" w:rsidRDefault="00292F42" w:rsidP="00C90BAB">
            <w:pPr>
              <w:spacing w:before="60" w:after="60"/>
              <w:contextualSpacing/>
              <w:rPr>
                <w:sz w:val="20"/>
                <w:szCs w:val="20"/>
                <w:lang w:val="es-ES"/>
              </w:rPr>
            </w:pPr>
            <w:r w:rsidRPr="006A33B8">
              <w:rPr>
                <w:sz w:val="20"/>
                <w:szCs w:val="20"/>
                <w:lang w:val="es-ES"/>
              </w:rPr>
              <w:t xml:space="preserve">Estaciones terrestres de observación en altitud, densidad normal, 500 km </w:t>
            </w:r>
          </w:p>
        </w:tc>
        <w:tc>
          <w:tcPr>
            <w:tcW w:w="911" w:type="pct"/>
            <w:shd w:val="clear" w:color="auto" w:fill="auto"/>
          </w:tcPr>
          <w:p w14:paraId="583AAC6A" w14:textId="77777777" w:rsidR="00211320" w:rsidRPr="006A33B8" w:rsidRDefault="00211320" w:rsidP="00C90BAB">
            <w:pPr>
              <w:spacing w:before="60" w:after="60"/>
              <w:rPr>
                <w:rFonts w:eastAsia="Verdana" w:cs="Segoe UI"/>
                <w:sz w:val="20"/>
                <w:szCs w:val="20"/>
                <w:lang w:val="es-ES"/>
              </w:rPr>
            </w:pPr>
          </w:p>
        </w:tc>
        <w:tc>
          <w:tcPr>
            <w:tcW w:w="911" w:type="pct"/>
            <w:shd w:val="clear" w:color="auto" w:fill="auto"/>
          </w:tcPr>
          <w:p w14:paraId="5DF530B4" w14:textId="77777777" w:rsidR="00211320" w:rsidRPr="006A33B8" w:rsidRDefault="00211320" w:rsidP="00C90BAB">
            <w:pPr>
              <w:spacing w:before="60" w:after="60"/>
              <w:rPr>
                <w:rFonts w:eastAsia="Verdana" w:cs="Segoe UI"/>
                <w:sz w:val="20"/>
                <w:szCs w:val="20"/>
                <w:lang w:val="es-ES"/>
              </w:rPr>
            </w:pPr>
          </w:p>
        </w:tc>
        <w:tc>
          <w:tcPr>
            <w:tcW w:w="836" w:type="pct"/>
            <w:tcBorders>
              <w:right w:val="single" w:sz="8" w:space="0" w:color="A6A6A6"/>
            </w:tcBorders>
            <w:shd w:val="clear" w:color="auto" w:fill="auto"/>
          </w:tcPr>
          <w:p w14:paraId="225A4D32" w14:textId="77777777" w:rsidR="00211320" w:rsidRPr="006A33B8" w:rsidRDefault="00211320" w:rsidP="00C90BAB">
            <w:pPr>
              <w:spacing w:before="60" w:after="60"/>
              <w:rPr>
                <w:rFonts w:eastAsia="Verdana" w:cs="Segoe UI"/>
                <w:sz w:val="20"/>
                <w:szCs w:val="20"/>
                <w:lang w:val="es-ES"/>
              </w:rPr>
            </w:pPr>
          </w:p>
        </w:tc>
        <w:tc>
          <w:tcPr>
            <w:tcW w:w="830" w:type="pct"/>
            <w:tcBorders>
              <w:left w:val="single" w:sz="8" w:space="0" w:color="A6A6A6"/>
            </w:tcBorders>
            <w:shd w:val="clear" w:color="auto" w:fill="auto"/>
          </w:tcPr>
          <w:p w14:paraId="7D504EE7" w14:textId="77777777" w:rsidR="00211320" w:rsidRPr="006A33B8" w:rsidRDefault="00211320" w:rsidP="00C90BAB">
            <w:pPr>
              <w:spacing w:before="60" w:after="60"/>
              <w:rPr>
                <w:rFonts w:eastAsia="Verdana" w:cs="Segoe UI"/>
                <w:sz w:val="20"/>
                <w:szCs w:val="20"/>
                <w:lang w:val="es-ES"/>
              </w:rPr>
            </w:pPr>
          </w:p>
        </w:tc>
      </w:tr>
      <w:tr w:rsidR="00211320" w:rsidRPr="00AE4BEE" w14:paraId="5D622758" w14:textId="77777777" w:rsidTr="002D6853">
        <w:trPr>
          <w:trHeight w:val="693"/>
        </w:trPr>
        <w:tc>
          <w:tcPr>
            <w:tcW w:w="1512" w:type="pct"/>
            <w:shd w:val="clear" w:color="auto" w:fill="auto"/>
          </w:tcPr>
          <w:p w14:paraId="6ABD4EDE" w14:textId="4FA5E2AE" w:rsidR="00211320" w:rsidRPr="006A33B8" w:rsidRDefault="00292F42" w:rsidP="00C90BAB">
            <w:pPr>
              <w:spacing w:before="60" w:after="60"/>
              <w:contextualSpacing/>
              <w:rPr>
                <w:sz w:val="20"/>
                <w:szCs w:val="20"/>
                <w:lang w:val="es-ES"/>
              </w:rPr>
            </w:pPr>
            <w:r w:rsidRPr="006A33B8">
              <w:rPr>
                <w:sz w:val="20"/>
                <w:szCs w:val="20"/>
                <w:lang w:val="es-ES"/>
              </w:rPr>
              <w:t>Estaciones terrestres de observación en altitud, densidad alta, 200 km</w:t>
            </w:r>
          </w:p>
        </w:tc>
        <w:tc>
          <w:tcPr>
            <w:tcW w:w="911" w:type="pct"/>
            <w:shd w:val="clear" w:color="auto" w:fill="auto"/>
          </w:tcPr>
          <w:p w14:paraId="7B8792AE" w14:textId="77777777" w:rsidR="00211320" w:rsidRPr="006A33B8" w:rsidRDefault="00211320" w:rsidP="00C90BAB">
            <w:pPr>
              <w:spacing w:before="60" w:after="60"/>
              <w:rPr>
                <w:rFonts w:eastAsia="Verdana" w:cs="Segoe UI"/>
                <w:sz w:val="20"/>
                <w:szCs w:val="20"/>
                <w:lang w:val="es-ES"/>
              </w:rPr>
            </w:pPr>
          </w:p>
        </w:tc>
        <w:tc>
          <w:tcPr>
            <w:tcW w:w="911" w:type="pct"/>
            <w:shd w:val="clear" w:color="auto" w:fill="auto"/>
          </w:tcPr>
          <w:p w14:paraId="1B131CF7" w14:textId="77777777" w:rsidR="00211320" w:rsidRPr="006A33B8" w:rsidRDefault="00211320" w:rsidP="00C90BAB">
            <w:pPr>
              <w:spacing w:before="60" w:after="60"/>
              <w:rPr>
                <w:rFonts w:eastAsia="Verdana" w:cs="Segoe UI"/>
                <w:sz w:val="20"/>
                <w:szCs w:val="20"/>
                <w:lang w:val="es-ES"/>
              </w:rPr>
            </w:pPr>
          </w:p>
        </w:tc>
        <w:tc>
          <w:tcPr>
            <w:tcW w:w="836" w:type="pct"/>
            <w:tcBorders>
              <w:right w:val="single" w:sz="8" w:space="0" w:color="A6A6A6"/>
            </w:tcBorders>
            <w:shd w:val="clear" w:color="auto" w:fill="auto"/>
          </w:tcPr>
          <w:p w14:paraId="474AFE08" w14:textId="77777777" w:rsidR="00211320" w:rsidRPr="006A33B8" w:rsidRDefault="00211320" w:rsidP="00C90BAB">
            <w:pPr>
              <w:spacing w:before="60" w:after="60"/>
              <w:rPr>
                <w:rFonts w:eastAsia="Verdana" w:cs="Segoe UI"/>
                <w:sz w:val="20"/>
                <w:szCs w:val="20"/>
                <w:lang w:val="es-ES"/>
              </w:rPr>
            </w:pPr>
          </w:p>
        </w:tc>
        <w:tc>
          <w:tcPr>
            <w:tcW w:w="830" w:type="pct"/>
            <w:tcBorders>
              <w:left w:val="single" w:sz="8" w:space="0" w:color="A6A6A6"/>
            </w:tcBorders>
            <w:shd w:val="clear" w:color="auto" w:fill="auto"/>
          </w:tcPr>
          <w:p w14:paraId="23004BA1" w14:textId="77777777" w:rsidR="00211320" w:rsidRPr="006A33B8" w:rsidRDefault="00211320" w:rsidP="00C90BAB">
            <w:pPr>
              <w:spacing w:before="60" w:after="60"/>
              <w:rPr>
                <w:rFonts w:eastAsia="Verdana" w:cs="Segoe UI"/>
                <w:sz w:val="20"/>
                <w:szCs w:val="20"/>
                <w:lang w:val="es-ES"/>
              </w:rPr>
            </w:pPr>
          </w:p>
        </w:tc>
      </w:tr>
      <w:tr w:rsidR="00211320" w:rsidRPr="00AE4BEE" w14:paraId="004419A6" w14:textId="77777777" w:rsidTr="002D6853">
        <w:trPr>
          <w:trHeight w:val="693"/>
        </w:trPr>
        <w:tc>
          <w:tcPr>
            <w:tcW w:w="1512" w:type="pct"/>
            <w:shd w:val="clear" w:color="auto" w:fill="auto"/>
          </w:tcPr>
          <w:p w14:paraId="33EF4E12" w14:textId="75A91AF0" w:rsidR="00211320" w:rsidRPr="006A33B8" w:rsidRDefault="00292F42" w:rsidP="00C90BAB">
            <w:pPr>
              <w:spacing w:before="60" w:after="60"/>
              <w:contextualSpacing/>
              <w:rPr>
                <w:sz w:val="20"/>
                <w:szCs w:val="20"/>
                <w:lang w:val="es-ES"/>
              </w:rPr>
            </w:pPr>
            <w:r w:rsidRPr="006A33B8">
              <w:rPr>
                <w:sz w:val="20"/>
                <w:szCs w:val="20"/>
                <w:lang w:val="es-ES"/>
              </w:rPr>
              <w:t>Estaciones marinas de observación en altitud, 1</w:t>
            </w:r>
            <w:r w:rsidR="005A3168">
              <w:rPr>
                <w:sz w:val="20"/>
                <w:szCs w:val="20"/>
                <w:lang w:val="es-ES"/>
              </w:rPr>
              <w:t> </w:t>
            </w:r>
            <w:r w:rsidRPr="006A33B8">
              <w:rPr>
                <w:sz w:val="20"/>
                <w:szCs w:val="20"/>
                <w:lang w:val="es-ES"/>
              </w:rPr>
              <w:t>000 km</w:t>
            </w:r>
          </w:p>
        </w:tc>
        <w:tc>
          <w:tcPr>
            <w:tcW w:w="911" w:type="pct"/>
            <w:shd w:val="clear" w:color="auto" w:fill="auto"/>
          </w:tcPr>
          <w:p w14:paraId="7E92C993" w14:textId="77777777" w:rsidR="00211320" w:rsidRPr="006A33B8" w:rsidRDefault="00211320" w:rsidP="00C90BAB">
            <w:pPr>
              <w:spacing w:before="60" w:after="60"/>
              <w:rPr>
                <w:rFonts w:eastAsia="Verdana" w:cs="Segoe UI"/>
                <w:sz w:val="20"/>
                <w:szCs w:val="20"/>
                <w:lang w:val="es-ES"/>
              </w:rPr>
            </w:pPr>
          </w:p>
        </w:tc>
        <w:tc>
          <w:tcPr>
            <w:tcW w:w="911" w:type="pct"/>
            <w:shd w:val="clear" w:color="auto" w:fill="auto"/>
          </w:tcPr>
          <w:p w14:paraId="604BFFB7" w14:textId="77777777" w:rsidR="00211320" w:rsidRPr="006A33B8" w:rsidRDefault="00211320" w:rsidP="00C90BAB">
            <w:pPr>
              <w:spacing w:before="60" w:after="60"/>
              <w:rPr>
                <w:rFonts w:eastAsia="Verdana" w:cs="Segoe UI"/>
                <w:sz w:val="20"/>
                <w:szCs w:val="20"/>
                <w:lang w:val="es-ES"/>
              </w:rPr>
            </w:pPr>
          </w:p>
        </w:tc>
        <w:tc>
          <w:tcPr>
            <w:tcW w:w="836" w:type="pct"/>
            <w:tcBorders>
              <w:right w:val="single" w:sz="8" w:space="0" w:color="A6A6A6"/>
            </w:tcBorders>
            <w:shd w:val="clear" w:color="auto" w:fill="auto"/>
          </w:tcPr>
          <w:p w14:paraId="5E9DFE4C" w14:textId="77777777" w:rsidR="00211320" w:rsidRPr="006A33B8" w:rsidRDefault="00211320" w:rsidP="00C90BAB">
            <w:pPr>
              <w:spacing w:before="60" w:after="60"/>
              <w:rPr>
                <w:rFonts w:eastAsia="Verdana" w:cs="Segoe UI"/>
                <w:sz w:val="20"/>
                <w:szCs w:val="20"/>
                <w:lang w:val="es-ES"/>
              </w:rPr>
            </w:pPr>
          </w:p>
        </w:tc>
        <w:tc>
          <w:tcPr>
            <w:tcW w:w="830" w:type="pct"/>
            <w:tcBorders>
              <w:left w:val="single" w:sz="8" w:space="0" w:color="A6A6A6"/>
            </w:tcBorders>
            <w:shd w:val="clear" w:color="auto" w:fill="auto"/>
          </w:tcPr>
          <w:p w14:paraId="6E319C3F" w14:textId="77777777" w:rsidR="00211320" w:rsidRPr="006A33B8" w:rsidRDefault="00211320" w:rsidP="00C90BAB">
            <w:pPr>
              <w:spacing w:before="60" w:after="60"/>
              <w:rPr>
                <w:rFonts w:eastAsia="Verdana" w:cs="Segoe UI"/>
                <w:sz w:val="20"/>
                <w:szCs w:val="20"/>
                <w:lang w:val="es-ES"/>
              </w:rPr>
            </w:pPr>
          </w:p>
        </w:tc>
      </w:tr>
      <w:tr w:rsidR="00E142D9" w:rsidRPr="00AE4BEE" w14:paraId="7272B1C3" w14:textId="77777777" w:rsidTr="002D6853">
        <w:trPr>
          <w:trHeight w:val="505"/>
        </w:trPr>
        <w:tc>
          <w:tcPr>
            <w:tcW w:w="1512" w:type="pct"/>
            <w:shd w:val="clear" w:color="auto" w:fill="auto"/>
          </w:tcPr>
          <w:p w14:paraId="2B4E37D6" w14:textId="103C78FC" w:rsidR="00E142D9" w:rsidRPr="006A33B8" w:rsidRDefault="00292F42" w:rsidP="00C90BAB">
            <w:pPr>
              <w:spacing w:before="60" w:after="60"/>
              <w:rPr>
                <w:sz w:val="20"/>
                <w:szCs w:val="20"/>
                <w:lang w:val="es-ES"/>
              </w:rPr>
            </w:pPr>
            <w:r w:rsidRPr="006A33B8">
              <w:rPr>
                <w:sz w:val="20"/>
                <w:szCs w:val="20"/>
                <w:lang w:val="es-ES"/>
              </w:rPr>
              <w:t>Estaciones marinas de observación en superficie, 500 km</w:t>
            </w:r>
          </w:p>
        </w:tc>
        <w:tc>
          <w:tcPr>
            <w:tcW w:w="911" w:type="pct"/>
            <w:shd w:val="clear" w:color="auto" w:fill="auto"/>
          </w:tcPr>
          <w:p w14:paraId="72C0D3FF" w14:textId="77777777" w:rsidR="00E142D9" w:rsidRPr="006A33B8" w:rsidRDefault="00E142D9" w:rsidP="00C90BAB">
            <w:pPr>
              <w:spacing w:before="60" w:after="60"/>
              <w:rPr>
                <w:rFonts w:eastAsia="Verdana" w:cs="Segoe UI"/>
                <w:sz w:val="20"/>
                <w:szCs w:val="20"/>
                <w:lang w:val="es-ES"/>
              </w:rPr>
            </w:pPr>
          </w:p>
        </w:tc>
        <w:tc>
          <w:tcPr>
            <w:tcW w:w="911" w:type="pct"/>
            <w:shd w:val="clear" w:color="auto" w:fill="auto"/>
          </w:tcPr>
          <w:p w14:paraId="6A91D3DF" w14:textId="77777777" w:rsidR="00E142D9" w:rsidRPr="006A33B8" w:rsidRDefault="00E142D9" w:rsidP="00C90BAB">
            <w:pPr>
              <w:spacing w:before="60" w:after="60"/>
              <w:rPr>
                <w:rFonts w:eastAsia="Verdana" w:cs="Segoe UI"/>
                <w:sz w:val="20"/>
                <w:szCs w:val="20"/>
                <w:lang w:val="es-ES"/>
              </w:rPr>
            </w:pPr>
          </w:p>
        </w:tc>
        <w:tc>
          <w:tcPr>
            <w:tcW w:w="836" w:type="pct"/>
            <w:tcBorders>
              <w:right w:val="single" w:sz="8" w:space="0" w:color="A6A6A6"/>
            </w:tcBorders>
            <w:shd w:val="clear" w:color="auto" w:fill="auto"/>
          </w:tcPr>
          <w:p w14:paraId="777A0420" w14:textId="77777777" w:rsidR="00E142D9" w:rsidRPr="006A33B8" w:rsidRDefault="00E142D9" w:rsidP="00C90BAB">
            <w:pPr>
              <w:spacing w:before="60" w:after="60"/>
              <w:rPr>
                <w:rFonts w:eastAsia="Verdana" w:cs="Segoe UI"/>
                <w:sz w:val="20"/>
                <w:szCs w:val="20"/>
                <w:lang w:val="es-ES"/>
              </w:rPr>
            </w:pPr>
          </w:p>
        </w:tc>
        <w:tc>
          <w:tcPr>
            <w:tcW w:w="830" w:type="pct"/>
            <w:tcBorders>
              <w:left w:val="single" w:sz="8" w:space="0" w:color="A6A6A6"/>
            </w:tcBorders>
            <w:shd w:val="clear" w:color="auto" w:fill="auto"/>
          </w:tcPr>
          <w:p w14:paraId="1EFD31F8" w14:textId="77777777" w:rsidR="00E142D9" w:rsidRPr="006A33B8" w:rsidRDefault="00E142D9" w:rsidP="00C90BAB">
            <w:pPr>
              <w:spacing w:before="60" w:after="60"/>
              <w:rPr>
                <w:rFonts w:eastAsia="Verdana" w:cs="Segoe UI"/>
                <w:sz w:val="20"/>
                <w:szCs w:val="20"/>
                <w:lang w:val="es-ES"/>
              </w:rPr>
            </w:pPr>
          </w:p>
        </w:tc>
      </w:tr>
    </w:tbl>
    <w:p w14:paraId="511FF929" w14:textId="77777777" w:rsidR="00E142D9" w:rsidRPr="002E7790" w:rsidRDefault="00E142D9" w:rsidP="00C90BAB">
      <w:pPr>
        <w:spacing w:before="120" w:after="240"/>
        <w:jc w:val="center"/>
        <w:rPr>
          <w:rFonts w:eastAsia="Calibri"/>
          <w:i/>
          <w:iCs/>
          <w:lang w:val="es-ES"/>
        </w:rPr>
      </w:pPr>
      <w:r>
        <w:rPr>
          <w:i/>
          <w:iCs/>
          <w:lang w:val="es-ES"/>
        </w:rPr>
        <w:t>*** Espacio reservado para los mapas de las redes en superficie, en altitud y marinas existentes con indicación de las carencias ***</w:t>
      </w:r>
    </w:p>
    <w:p w14:paraId="52A673A8" w14:textId="12C3D78B" w:rsidR="00E142D9" w:rsidRPr="002E7790" w:rsidRDefault="00E142D9" w:rsidP="005A3168">
      <w:pPr>
        <w:spacing w:after="240" w:line="240" w:lineRule="exact"/>
        <w:rPr>
          <w:rFonts w:eastAsia="Calibri" w:cs="Segoe UI"/>
          <w:lang w:val="es-ES"/>
        </w:rPr>
      </w:pPr>
      <w:r>
        <w:rPr>
          <w:lang w:val="es-ES"/>
        </w:rPr>
        <w:t xml:space="preserve">A modo de resumen, en el cuadro 5.6 figura una lista de las estaciones en superficie, en altitud y marinas que cumplen con las disposiciones de la GBON y que se recomienda designar para la </w:t>
      </w:r>
      <w:r w:rsidR="002050A0">
        <w:rPr>
          <w:lang w:val="es-ES"/>
        </w:rPr>
        <w:t>Red</w:t>
      </w:r>
      <w:r>
        <w:rPr>
          <w:lang w:val="es-ES"/>
        </w:rPr>
        <w:t>.</w:t>
      </w:r>
    </w:p>
    <w:p w14:paraId="56AFE519" w14:textId="737B639E" w:rsidR="00651E78" w:rsidRPr="002E7790" w:rsidRDefault="00651E78" w:rsidP="0059699A">
      <w:pPr>
        <w:keepNext/>
        <w:keepLines/>
        <w:spacing w:after="240" w:line="240" w:lineRule="exact"/>
        <w:jc w:val="center"/>
        <w:rPr>
          <w:b/>
          <w:bCs/>
          <w:lang w:val="es-ES"/>
        </w:rPr>
      </w:pPr>
      <w:r>
        <w:rPr>
          <w:b/>
          <w:bCs/>
          <w:lang w:val="es-ES"/>
        </w:rPr>
        <w:lastRenderedPageBreak/>
        <w:t>Cuadro 5.6.</w:t>
      </w:r>
      <w:r>
        <w:rPr>
          <w:lang w:val="es-ES"/>
        </w:rPr>
        <w:t xml:space="preserve"> </w:t>
      </w:r>
      <w:r>
        <w:rPr>
          <w:b/>
          <w:bCs/>
          <w:lang w:val="es-ES"/>
        </w:rPr>
        <w:t xml:space="preserve">Estaciones en superficie, en altitud y marinas </w:t>
      </w:r>
      <w:r w:rsidR="005A3168">
        <w:rPr>
          <w:b/>
          <w:bCs/>
          <w:lang w:val="es-ES"/>
        </w:rPr>
        <w:br/>
      </w:r>
      <w:r w:rsidR="0053713F" w:rsidRPr="0053713F">
        <w:rPr>
          <w:b/>
          <w:bCs/>
          <w:lang w:val="es-ES"/>
        </w:rPr>
        <w:t>que se recomienda designar para la GBON</w:t>
      </w:r>
    </w:p>
    <w:tbl>
      <w:tblPr>
        <w:tblStyle w:val="TableGrid1"/>
        <w:tblW w:w="5000" w:type="pct"/>
        <w:tblLayout w:type="fixed"/>
        <w:tblLook w:val="04A0" w:firstRow="1" w:lastRow="0" w:firstColumn="1" w:lastColumn="0" w:noHBand="0" w:noVBand="1"/>
      </w:tblPr>
      <w:tblGrid>
        <w:gridCol w:w="6552"/>
        <w:gridCol w:w="3067"/>
      </w:tblGrid>
      <w:tr w:rsidR="00E142D9" w:rsidRPr="00AE4BEE" w14:paraId="01A897D1" w14:textId="77777777" w:rsidTr="00C90BAB">
        <w:trPr>
          <w:trHeight w:val="709"/>
        </w:trPr>
        <w:tc>
          <w:tcPr>
            <w:tcW w:w="3406" w:type="pct"/>
            <w:tcBorders>
              <w:top w:val="single" w:sz="8" w:space="0" w:color="BFBFBF"/>
              <w:left w:val="single" w:sz="8" w:space="0" w:color="BFBFBF"/>
              <w:bottom w:val="single" w:sz="8" w:space="0" w:color="BFBFBF"/>
              <w:right w:val="single" w:sz="8" w:space="0" w:color="BFBFBF"/>
            </w:tcBorders>
            <w:shd w:val="clear" w:color="auto" w:fill="auto"/>
            <w:vAlign w:val="center"/>
          </w:tcPr>
          <w:p w14:paraId="34F4CD98" w14:textId="77777777" w:rsidR="00E142D9" w:rsidRPr="002E7828" w:rsidRDefault="00E142D9" w:rsidP="00C90BAB">
            <w:pPr>
              <w:keepNext/>
              <w:keepLines/>
              <w:spacing w:before="120" w:after="120"/>
              <w:jc w:val="center"/>
              <w:rPr>
                <w:sz w:val="20"/>
                <w:szCs w:val="20"/>
              </w:rPr>
            </w:pPr>
            <w:r w:rsidRPr="002E7828">
              <w:rPr>
                <w:sz w:val="20"/>
                <w:szCs w:val="20"/>
                <w:lang w:val="es-ES"/>
              </w:rPr>
              <w:t>Nombre de la estación</w:t>
            </w:r>
          </w:p>
        </w:tc>
        <w:tc>
          <w:tcPr>
            <w:tcW w:w="1594" w:type="pct"/>
            <w:tcBorders>
              <w:top w:val="single" w:sz="8" w:space="0" w:color="BFBFBF"/>
              <w:left w:val="single" w:sz="8" w:space="0" w:color="BFBFBF"/>
              <w:bottom w:val="single" w:sz="8" w:space="0" w:color="BFBFBF"/>
              <w:right w:val="single" w:sz="8" w:space="0" w:color="BFBFBF"/>
            </w:tcBorders>
            <w:shd w:val="clear" w:color="auto" w:fill="auto"/>
            <w:vAlign w:val="center"/>
          </w:tcPr>
          <w:p w14:paraId="2E800E12" w14:textId="77777777" w:rsidR="00E142D9" w:rsidRPr="002E7828" w:rsidRDefault="00E142D9" w:rsidP="00C90BAB">
            <w:pPr>
              <w:keepNext/>
              <w:keepLines/>
              <w:spacing w:before="120" w:after="120"/>
              <w:jc w:val="center"/>
              <w:rPr>
                <w:sz w:val="20"/>
                <w:szCs w:val="20"/>
                <w:lang w:val="es-ES"/>
              </w:rPr>
            </w:pPr>
            <w:r w:rsidRPr="002E7828">
              <w:rPr>
                <w:sz w:val="20"/>
                <w:szCs w:val="20"/>
                <w:lang w:val="es-ES"/>
              </w:rPr>
              <w:t>Tipo de estación (S/A/M)</w:t>
            </w:r>
          </w:p>
        </w:tc>
      </w:tr>
      <w:tr w:rsidR="00E142D9" w:rsidRPr="00AE4BEE" w14:paraId="2FCCCCF7" w14:textId="77777777" w:rsidTr="00712633">
        <w:trPr>
          <w:trHeight w:val="126"/>
        </w:trPr>
        <w:tc>
          <w:tcPr>
            <w:tcW w:w="3406" w:type="pct"/>
            <w:tcBorders>
              <w:top w:val="single" w:sz="8" w:space="0" w:color="BFBFBF"/>
              <w:left w:val="single" w:sz="8" w:space="0" w:color="BFBFBF"/>
              <w:bottom w:val="single" w:sz="8" w:space="0" w:color="BFBFBF"/>
              <w:right w:val="single" w:sz="8" w:space="0" w:color="BFBFBF"/>
            </w:tcBorders>
            <w:shd w:val="clear" w:color="auto" w:fill="auto"/>
          </w:tcPr>
          <w:p w14:paraId="44171413" w14:textId="77777777" w:rsidR="00E142D9" w:rsidRPr="002E7828" w:rsidRDefault="00E142D9" w:rsidP="00C90BAB">
            <w:pPr>
              <w:keepNext/>
              <w:keepLines/>
              <w:spacing w:before="120" w:after="120"/>
              <w:rPr>
                <w:rFonts w:eastAsia="Calibri"/>
                <w:smallCaps/>
                <w:sz w:val="20"/>
                <w:szCs w:val="20"/>
                <w:lang w:val="es-ES"/>
              </w:rPr>
            </w:pPr>
          </w:p>
        </w:tc>
        <w:tc>
          <w:tcPr>
            <w:tcW w:w="1594" w:type="pct"/>
            <w:tcBorders>
              <w:top w:val="single" w:sz="8" w:space="0" w:color="BFBFBF"/>
              <w:left w:val="single" w:sz="8" w:space="0" w:color="BFBFBF"/>
              <w:bottom w:val="single" w:sz="8" w:space="0" w:color="BFBFBF"/>
              <w:right w:val="single" w:sz="8" w:space="0" w:color="BFBFBF"/>
            </w:tcBorders>
            <w:shd w:val="clear" w:color="auto" w:fill="auto"/>
          </w:tcPr>
          <w:p w14:paraId="4469F445" w14:textId="77777777" w:rsidR="00E142D9" w:rsidRPr="002E7828" w:rsidRDefault="00E142D9" w:rsidP="00C90BAB">
            <w:pPr>
              <w:keepNext/>
              <w:keepLines/>
              <w:spacing w:before="120" w:after="120"/>
              <w:jc w:val="center"/>
              <w:rPr>
                <w:rFonts w:eastAsia="Segoe UI" w:cs="Segoe UI"/>
                <w:sz w:val="20"/>
                <w:szCs w:val="20"/>
                <w:lang w:val="es-ES"/>
              </w:rPr>
            </w:pPr>
          </w:p>
        </w:tc>
      </w:tr>
      <w:tr w:rsidR="00E142D9" w:rsidRPr="00AE4BEE" w14:paraId="49216EA3" w14:textId="77777777" w:rsidTr="00712633">
        <w:trPr>
          <w:trHeight w:val="31"/>
        </w:trPr>
        <w:tc>
          <w:tcPr>
            <w:tcW w:w="3406" w:type="pct"/>
            <w:tcBorders>
              <w:top w:val="single" w:sz="8" w:space="0" w:color="BFBFBF"/>
              <w:left w:val="single" w:sz="8" w:space="0" w:color="BFBFBF"/>
              <w:bottom w:val="single" w:sz="8" w:space="0" w:color="BFBFBF"/>
              <w:right w:val="single" w:sz="8" w:space="0" w:color="BFBFBF"/>
            </w:tcBorders>
            <w:shd w:val="clear" w:color="auto" w:fill="auto"/>
          </w:tcPr>
          <w:p w14:paraId="5EDFE7A9" w14:textId="77777777" w:rsidR="00E142D9" w:rsidRPr="002E7828" w:rsidRDefault="00E142D9" w:rsidP="00C90BAB">
            <w:pPr>
              <w:keepNext/>
              <w:keepLines/>
              <w:spacing w:before="120" w:after="120"/>
              <w:rPr>
                <w:rFonts w:eastAsia="Calibri"/>
                <w:smallCaps/>
                <w:sz w:val="20"/>
                <w:szCs w:val="20"/>
                <w:lang w:val="es-ES"/>
              </w:rPr>
            </w:pPr>
          </w:p>
        </w:tc>
        <w:tc>
          <w:tcPr>
            <w:tcW w:w="1594" w:type="pct"/>
            <w:tcBorders>
              <w:top w:val="single" w:sz="8" w:space="0" w:color="BFBFBF"/>
              <w:left w:val="single" w:sz="8" w:space="0" w:color="BFBFBF"/>
              <w:bottom w:val="single" w:sz="8" w:space="0" w:color="BFBFBF"/>
              <w:right w:val="single" w:sz="8" w:space="0" w:color="BFBFBF"/>
            </w:tcBorders>
            <w:shd w:val="clear" w:color="auto" w:fill="auto"/>
          </w:tcPr>
          <w:p w14:paraId="4EC7269F" w14:textId="77777777" w:rsidR="00E142D9" w:rsidRPr="002E7828" w:rsidRDefault="00E142D9" w:rsidP="00C90BAB">
            <w:pPr>
              <w:keepNext/>
              <w:keepLines/>
              <w:spacing w:before="120" w:after="120"/>
              <w:jc w:val="center"/>
              <w:rPr>
                <w:rFonts w:eastAsia="Segoe UI" w:cs="Segoe UI"/>
                <w:sz w:val="20"/>
                <w:szCs w:val="20"/>
                <w:lang w:val="es-ES"/>
              </w:rPr>
            </w:pPr>
          </w:p>
        </w:tc>
      </w:tr>
      <w:tr w:rsidR="00E142D9" w:rsidRPr="00AE4BEE" w14:paraId="49C0C287" w14:textId="77777777" w:rsidTr="00712633">
        <w:trPr>
          <w:trHeight w:val="150"/>
        </w:trPr>
        <w:tc>
          <w:tcPr>
            <w:tcW w:w="3406" w:type="pct"/>
            <w:tcBorders>
              <w:top w:val="single" w:sz="8" w:space="0" w:color="BFBFBF"/>
              <w:left w:val="single" w:sz="8" w:space="0" w:color="BFBFBF"/>
              <w:bottom w:val="single" w:sz="8" w:space="0" w:color="BFBFBF"/>
              <w:right w:val="single" w:sz="8" w:space="0" w:color="BFBFBF"/>
            </w:tcBorders>
            <w:shd w:val="clear" w:color="auto" w:fill="auto"/>
          </w:tcPr>
          <w:p w14:paraId="229E4AFE" w14:textId="77777777" w:rsidR="00E142D9" w:rsidRPr="002E7828" w:rsidRDefault="00E142D9" w:rsidP="00C90BAB">
            <w:pPr>
              <w:keepNext/>
              <w:keepLines/>
              <w:spacing w:before="120" w:after="120"/>
              <w:rPr>
                <w:rFonts w:eastAsia="Calibri"/>
                <w:smallCaps/>
                <w:sz w:val="20"/>
                <w:szCs w:val="20"/>
                <w:lang w:val="es-ES"/>
              </w:rPr>
            </w:pPr>
          </w:p>
        </w:tc>
        <w:tc>
          <w:tcPr>
            <w:tcW w:w="1594" w:type="pct"/>
            <w:tcBorders>
              <w:top w:val="single" w:sz="8" w:space="0" w:color="BFBFBF"/>
              <w:left w:val="single" w:sz="8" w:space="0" w:color="BFBFBF"/>
              <w:bottom w:val="single" w:sz="8" w:space="0" w:color="BFBFBF"/>
              <w:right w:val="single" w:sz="8" w:space="0" w:color="BFBFBF"/>
            </w:tcBorders>
            <w:shd w:val="clear" w:color="auto" w:fill="auto"/>
          </w:tcPr>
          <w:p w14:paraId="2DAFBBB4" w14:textId="77777777" w:rsidR="00E142D9" w:rsidRPr="002E7828" w:rsidRDefault="00E142D9" w:rsidP="00C90BAB">
            <w:pPr>
              <w:keepNext/>
              <w:keepLines/>
              <w:spacing w:before="120" w:after="120"/>
              <w:jc w:val="center"/>
              <w:rPr>
                <w:rFonts w:eastAsia="Segoe UI" w:cs="Segoe UI"/>
                <w:sz w:val="20"/>
                <w:szCs w:val="20"/>
                <w:lang w:val="es-ES"/>
              </w:rPr>
            </w:pPr>
          </w:p>
        </w:tc>
      </w:tr>
      <w:tr w:rsidR="00E142D9" w:rsidRPr="00AE4BEE" w14:paraId="46815F91" w14:textId="77777777" w:rsidTr="00712633">
        <w:trPr>
          <w:trHeight w:val="150"/>
        </w:trPr>
        <w:tc>
          <w:tcPr>
            <w:tcW w:w="3406" w:type="pct"/>
            <w:tcBorders>
              <w:top w:val="single" w:sz="8" w:space="0" w:color="BFBFBF"/>
              <w:left w:val="single" w:sz="8" w:space="0" w:color="BFBFBF"/>
              <w:bottom w:val="single" w:sz="8" w:space="0" w:color="BFBFBF"/>
              <w:right w:val="single" w:sz="8" w:space="0" w:color="BFBFBF"/>
            </w:tcBorders>
            <w:shd w:val="clear" w:color="auto" w:fill="auto"/>
          </w:tcPr>
          <w:p w14:paraId="02F3A298" w14:textId="77777777" w:rsidR="00E142D9" w:rsidRPr="002E7828" w:rsidRDefault="00E142D9" w:rsidP="00C90BAB">
            <w:pPr>
              <w:keepNext/>
              <w:keepLines/>
              <w:spacing w:before="120" w:after="120"/>
              <w:rPr>
                <w:rFonts w:eastAsia="Calibri"/>
                <w:smallCaps/>
                <w:sz w:val="20"/>
                <w:szCs w:val="20"/>
                <w:lang w:val="es-ES"/>
              </w:rPr>
            </w:pPr>
          </w:p>
        </w:tc>
        <w:tc>
          <w:tcPr>
            <w:tcW w:w="1594" w:type="pct"/>
            <w:tcBorders>
              <w:top w:val="single" w:sz="8" w:space="0" w:color="BFBFBF"/>
              <w:left w:val="single" w:sz="8" w:space="0" w:color="BFBFBF"/>
              <w:bottom w:val="single" w:sz="8" w:space="0" w:color="BFBFBF"/>
              <w:right w:val="single" w:sz="8" w:space="0" w:color="BFBFBF"/>
            </w:tcBorders>
            <w:shd w:val="clear" w:color="auto" w:fill="auto"/>
          </w:tcPr>
          <w:p w14:paraId="57B143C2" w14:textId="77777777" w:rsidR="00E142D9" w:rsidRPr="002E7828" w:rsidRDefault="00E142D9" w:rsidP="00C90BAB">
            <w:pPr>
              <w:keepNext/>
              <w:keepLines/>
              <w:spacing w:before="120" w:after="120"/>
              <w:jc w:val="center"/>
              <w:rPr>
                <w:rFonts w:eastAsia="Segoe UI" w:cs="Segoe UI"/>
                <w:sz w:val="20"/>
                <w:szCs w:val="20"/>
                <w:lang w:val="es-ES"/>
              </w:rPr>
            </w:pPr>
          </w:p>
        </w:tc>
      </w:tr>
      <w:tr w:rsidR="00E142D9" w:rsidRPr="00AE4BEE" w14:paraId="14E0ED23" w14:textId="77777777" w:rsidTr="00712633">
        <w:trPr>
          <w:trHeight w:val="150"/>
        </w:trPr>
        <w:tc>
          <w:tcPr>
            <w:tcW w:w="3406" w:type="pct"/>
            <w:tcBorders>
              <w:top w:val="single" w:sz="8" w:space="0" w:color="BFBFBF"/>
              <w:left w:val="single" w:sz="8" w:space="0" w:color="BFBFBF"/>
              <w:bottom w:val="single" w:sz="8" w:space="0" w:color="BFBFBF"/>
              <w:right w:val="single" w:sz="8" w:space="0" w:color="BFBFBF"/>
            </w:tcBorders>
            <w:shd w:val="clear" w:color="auto" w:fill="auto"/>
          </w:tcPr>
          <w:p w14:paraId="6C3C1258" w14:textId="77777777" w:rsidR="00E142D9" w:rsidRPr="002E7828" w:rsidRDefault="00E142D9" w:rsidP="00C90BAB">
            <w:pPr>
              <w:keepNext/>
              <w:keepLines/>
              <w:spacing w:before="120" w:after="120"/>
              <w:rPr>
                <w:rFonts w:eastAsia="Calibri"/>
                <w:smallCaps/>
                <w:sz w:val="20"/>
                <w:szCs w:val="20"/>
                <w:lang w:val="es-ES"/>
              </w:rPr>
            </w:pPr>
          </w:p>
        </w:tc>
        <w:tc>
          <w:tcPr>
            <w:tcW w:w="1594" w:type="pct"/>
            <w:tcBorders>
              <w:top w:val="single" w:sz="8" w:space="0" w:color="BFBFBF"/>
              <w:left w:val="single" w:sz="8" w:space="0" w:color="BFBFBF"/>
              <w:bottom w:val="single" w:sz="8" w:space="0" w:color="BFBFBF"/>
              <w:right w:val="single" w:sz="8" w:space="0" w:color="BFBFBF"/>
            </w:tcBorders>
            <w:shd w:val="clear" w:color="auto" w:fill="auto"/>
          </w:tcPr>
          <w:p w14:paraId="57989D8C" w14:textId="77777777" w:rsidR="00E142D9" w:rsidRPr="002E7828" w:rsidRDefault="00E142D9" w:rsidP="00C90BAB">
            <w:pPr>
              <w:keepNext/>
              <w:keepLines/>
              <w:spacing w:before="120" w:after="120"/>
              <w:jc w:val="center"/>
              <w:rPr>
                <w:rFonts w:eastAsia="Segoe UI" w:cs="Segoe UI"/>
                <w:sz w:val="20"/>
                <w:szCs w:val="20"/>
                <w:lang w:val="es-ES"/>
              </w:rPr>
            </w:pPr>
          </w:p>
        </w:tc>
      </w:tr>
      <w:tr w:rsidR="00E142D9" w:rsidRPr="00AE4BEE" w14:paraId="31B6F1DE" w14:textId="77777777" w:rsidTr="00712633">
        <w:trPr>
          <w:trHeight w:val="150"/>
        </w:trPr>
        <w:tc>
          <w:tcPr>
            <w:tcW w:w="3406" w:type="pct"/>
            <w:tcBorders>
              <w:top w:val="single" w:sz="8" w:space="0" w:color="BFBFBF"/>
              <w:left w:val="single" w:sz="8" w:space="0" w:color="BFBFBF"/>
              <w:bottom w:val="single" w:sz="8" w:space="0" w:color="BFBFBF"/>
              <w:right w:val="single" w:sz="8" w:space="0" w:color="BFBFBF"/>
            </w:tcBorders>
            <w:shd w:val="clear" w:color="auto" w:fill="auto"/>
          </w:tcPr>
          <w:p w14:paraId="13F61310" w14:textId="77777777" w:rsidR="00E142D9" w:rsidRPr="002E7828" w:rsidRDefault="00E142D9" w:rsidP="00C90BAB">
            <w:pPr>
              <w:keepNext/>
              <w:keepLines/>
              <w:spacing w:before="120" w:after="120"/>
              <w:rPr>
                <w:rFonts w:eastAsia="Calibri"/>
                <w:smallCaps/>
                <w:sz w:val="20"/>
                <w:szCs w:val="20"/>
                <w:lang w:val="es-ES"/>
              </w:rPr>
            </w:pPr>
          </w:p>
        </w:tc>
        <w:tc>
          <w:tcPr>
            <w:tcW w:w="1594" w:type="pct"/>
            <w:tcBorders>
              <w:top w:val="single" w:sz="8" w:space="0" w:color="BFBFBF"/>
              <w:left w:val="single" w:sz="8" w:space="0" w:color="BFBFBF"/>
              <w:bottom w:val="single" w:sz="8" w:space="0" w:color="BFBFBF"/>
              <w:right w:val="single" w:sz="8" w:space="0" w:color="BFBFBF"/>
            </w:tcBorders>
            <w:shd w:val="clear" w:color="auto" w:fill="auto"/>
          </w:tcPr>
          <w:p w14:paraId="6245FAE4" w14:textId="77777777" w:rsidR="00E142D9" w:rsidRPr="002E7828" w:rsidRDefault="00E142D9" w:rsidP="00C90BAB">
            <w:pPr>
              <w:keepNext/>
              <w:keepLines/>
              <w:spacing w:before="120" w:after="120"/>
              <w:jc w:val="center"/>
              <w:rPr>
                <w:rFonts w:eastAsia="Segoe UI" w:cs="Segoe UI"/>
                <w:sz w:val="20"/>
                <w:szCs w:val="20"/>
                <w:lang w:val="es-ES"/>
              </w:rPr>
            </w:pPr>
          </w:p>
        </w:tc>
      </w:tr>
    </w:tbl>
    <w:p w14:paraId="394C7E72" w14:textId="12BF6DDC" w:rsidR="00DD30AD" w:rsidRPr="002E7790" w:rsidRDefault="0049082C" w:rsidP="005A3168">
      <w:pPr>
        <w:spacing w:before="240" w:after="240"/>
        <w:rPr>
          <w:rFonts w:eastAsia="MS Gothic" w:cs="Segoe UI"/>
          <w:b/>
          <w:bCs/>
          <w:color w:val="000000"/>
          <w:lang w:val="es-ES"/>
        </w:rPr>
      </w:pPr>
      <w:bookmarkStart w:id="32" w:name="_Toc105166399"/>
      <w:r>
        <w:rPr>
          <w:lang w:val="es-ES"/>
        </w:rPr>
        <w:t xml:space="preserve">En las </w:t>
      </w:r>
      <w:hyperlink r:id="rId34" w:history="1">
        <w:r w:rsidRPr="00C87378">
          <w:rPr>
            <w:rStyle w:val="Hyperlink"/>
            <w:lang w:val="es-ES"/>
          </w:rPr>
          <w:t>referencias del material sobre la GBON</w:t>
        </w:r>
      </w:hyperlink>
      <w:r>
        <w:rPr>
          <w:lang w:val="es-ES"/>
        </w:rPr>
        <w:t xml:space="preserve"> figura una plantilla para elaborar el informe de análisis de carencias de la GBON a nivel nacional. </w:t>
      </w:r>
      <w:r>
        <w:rPr>
          <w:i/>
          <w:iCs/>
          <w:lang w:val="es-ES"/>
        </w:rPr>
        <w:t>(Nota editorial: se incorporará a su debido tiempo).</w:t>
      </w:r>
    </w:p>
    <w:p w14:paraId="469BBE8B" w14:textId="77777777" w:rsidR="00E142D9" w:rsidRPr="002E7790" w:rsidRDefault="00CF7552" w:rsidP="00F3447A">
      <w:pPr>
        <w:spacing w:after="240" w:line="240" w:lineRule="exact"/>
        <w:ind w:left="1134" w:hanging="1134"/>
        <w:jc w:val="both"/>
        <w:rPr>
          <w:rFonts w:eastAsia="MS Gothic" w:cs="Segoe UI"/>
          <w:b/>
          <w:bCs/>
          <w:color w:val="000000"/>
          <w:lang w:val="es-ES"/>
        </w:rPr>
      </w:pPr>
      <w:r>
        <w:rPr>
          <w:b/>
          <w:bCs/>
          <w:lang w:val="es-ES"/>
        </w:rPr>
        <w:t>5.2.2</w:t>
      </w:r>
      <w:r>
        <w:rPr>
          <w:lang w:val="es-ES"/>
        </w:rPr>
        <w:tab/>
      </w:r>
      <w:r>
        <w:rPr>
          <w:b/>
          <w:bCs/>
          <w:lang w:val="es-ES"/>
        </w:rPr>
        <w:t>Consideraciones adicionales sobre la implementación y el funcionamiento de la GBON</w:t>
      </w:r>
      <w:bookmarkEnd w:id="32"/>
    </w:p>
    <w:p w14:paraId="5FE9C03F" w14:textId="77777777" w:rsidR="00E142D9" w:rsidRPr="002E7790" w:rsidRDefault="00E142D9" w:rsidP="00F3447A">
      <w:pPr>
        <w:spacing w:after="240" w:line="240" w:lineRule="exact"/>
        <w:textAlignment w:val="baseline"/>
        <w:rPr>
          <w:rFonts w:eastAsia="Times New Roman" w:cs="Segoe UI"/>
          <w:lang w:val="es-ES"/>
        </w:rPr>
      </w:pPr>
      <w:r>
        <w:rPr>
          <w:lang w:val="es-ES"/>
        </w:rPr>
        <w:t>Este análisis no investiga las razones que subyacen a las carencias. Sobre la base de los resultados del análisis de carencias de la GBON a nivel nacional, se elaborará el plan detallado de contribuciones nacionales a la Red, en el que se definirá la meta de la GBON a nivel nacional y se determinarán las medidas correspondientes para cumplir plenamente con las disposiciones de la GBON.</w:t>
      </w:r>
    </w:p>
    <w:p w14:paraId="2581245A" w14:textId="28C43954" w:rsidR="00E142D9" w:rsidRPr="002E7790" w:rsidRDefault="00E142D9" w:rsidP="00F3447A">
      <w:pPr>
        <w:spacing w:after="240" w:line="240" w:lineRule="exact"/>
        <w:textAlignment w:val="baseline"/>
        <w:rPr>
          <w:rFonts w:eastAsia="Times New Roman" w:cs="Segoe UI"/>
          <w:lang w:val="es-ES"/>
        </w:rPr>
      </w:pPr>
      <w:r>
        <w:rPr>
          <w:lang w:val="es-ES"/>
        </w:rPr>
        <w:t xml:space="preserve">Cada Miembro debe designar como mínimo el número requerido de estaciones en superficie, en altitud y marinas </w:t>
      </w:r>
      <w:r w:rsidR="00F5723C" w:rsidRPr="00F5723C">
        <w:rPr>
          <w:lang w:val="es-ES"/>
        </w:rPr>
        <w:t>correspondientes a su contribución</w:t>
      </w:r>
      <w:r>
        <w:rPr>
          <w:lang w:val="es-ES"/>
        </w:rPr>
        <w:t xml:space="preserve"> a la GBON. Aquellas estaciones que ya se ajusten a las disposiciones de la GBON deben ser consideradas como un subconjunto inicial de estaciones designadas </w:t>
      </w:r>
      <w:r w:rsidR="00D80708">
        <w:rPr>
          <w:lang w:val="es-ES"/>
        </w:rPr>
        <w:t>como parte de</w:t>
      </w:r>
      <w:r>
        <w:rPr>
          <w:lang w:val="es-ES"/>
        </w:rPr>
        <w:t xml:space="preserve"> la red GBON mediante su registro en </w:t>
      </w:r>
      <w:hyperlink r:id="rId35" w:history="1">
        <w:r w:rsidRPr="00C13307">
          <w:rPr>
            <w:rStyle w:val="Hyperlink"/>
            <w:lang w:val="es-ES"/>
          </w:rPr>
          <w:t>OSCAR/</w:t>
        </w:r>
        <w:r w:rsidRPr="00C13307">
          <w:rPr>
            <w:rStyle w:val="Hyperlink"/>
            <w:lang w:val="es-ES"/>
          </w:rPr>
          <w:t>S</w:t>
        </w:r>
        <w:r w:rsidRPr="00C13307">
          <w:rPr>
            <w:rStyle w:val="Hyperlink"/>
            <w:lang w:val="es-ES"/>
          </w:rPr>
          <w:t>uperficie</w:t>
        </w:r>
      </w:hyperlink>
      <w:r>
        <w:rPr>
          <w:lang w:val="es-ES"/>
        </w:rPr>
        <w:t xml:space="preserve"> y el cumplimiento de los requisitos relativos a los metadatos.</w:t>
      </w:r>
    </w:p>
    <w:p w14:paraId="665C6703" w14:textId="77777777" w:rsidR="00E142D9" w:rsidRPr="002E7790" w:rsidRDefault="53D83D41" w:rsidP="00F3447A">
      <w:pPr>
        <w:spacing w:after="240" w:line="240" w:lineRule="exact"/>
        <w:textAlignment w:val="baseline"/>
        <w:rPr>
          <w:rFonts w:eastAsia="Times New Roman" w:cs="Segoe UI"/>
          <w:lang w:val="es-ES"/>
        </w:rPr>
      </w:pPr>
      <w:r>
        <w:rPr>
          <w:lang w:val="es-ES"/>
        </w:rPr>
        <w:t>Si la red nacional de observaciones no cumple un determinado requisito de la GBON y, por algún motivo, no están previstas medidas para dar cumplimiento a dicho requisito, deberá informarse del motivo al Secretario General de la OMM y solicitar una excepción en virtud del artículo 9 del Convenio de la OMM (véase la sección 3.3). Por ejemplo, cuando no puede aplicarse un requisito de la GBON en el territorio del Miembro porque no es tecnológicamente posible o económicamente viable.</w:t>
      </w:r>
    </w:p>
    <w:p w14:paraId="01E8C186" w14:textId="568E4BEB" w:rsidR="00E142D9" w:rsidRPr="002E7790" w:rsidRDefault="00E142D9" w:rsidP="00F3447A">
      <w:pPr>
        <w:spacing w:after="240" w:line="240" w:lineRule="exact"/>
        <w:textAlignment w:val="baseline"/>
        <w:rPr>
          <w:rFonts w:eastAsia="Times New Roman" w:cs="Segoe UI"/>
          <w:lang w:val="es-ES"/>
        </w:rPr>
      </w:pPr>
      <w:r>
        <w:rPr>
          <w:lang w:val="es-ES"/>
        </w:rPr>
        <w:t xml:space="preserve">La reglamentación relativa a la GBON es un conjunto exhaustivo de disposiciones que no solo </w:t>
      </w:r>
      <w:r w:rsidR="000C791F">
        <w:rPr>
          <w:lang w:val="es-ES"/>
        </w:rPr>
        <w:t>promueve</w:t>
      </w:r>
      <w:r>
        <w:rPr>
          <w:lang w:val="es-ES"/>
        </w:rPr>
        <w:t xml:space="preserve"> una cierta densidad para la red de observación, sino que también exige un compromiso a largo plazo respecto a las operaciones de la Red, ya que se espera que todos los Miembros de la OMM dispongan de datos de observación de alta calidad y puntuales. Por lo tanto, deben revisarse las prácticas de gestión de las redes de observación operativas y considerarse las actividades de desarrollo de capacidad en el marco del plan de contribuciones nacionales a la GBON, para así garantizar el funcionamiento sostenible de la Red.</w:t>
      </w:r>
    </w:p>
    <w:p w14:paraId="5954E694" w14:textId="25C7C4CF" w:rsidR="00DF4B77" w:rsidRPr="002E7790" w:rsidRDefault="00E142D9" w:rsidP="002D6853">
      <w:pPr>
        <w:spacing w:after="240" w:line="240" w:lineRule="exact"/>
        <w:jc w:val="both"/>
        <w:textAlignment w:val="baseline"/>
        <w:rPr>
          <w:rFonts w:eastAsia="Times New Roman" w:cs="Segoe UI"/>
          <w:lang w:val="es-ES"/>
        </w:rPr>
      </w:pPr>
      <w:r>
        <w:rPr>
          <w:lang w:val="es-ES"/>
        </w:rPr>
        <w:t>Los Miembros pueden ajustar y ampliar las plantillas proporcionadas en estas directrices de acuerdo con las prácticas operativas nacionales, en caso necesario. La Secretaría de la OMM y la INFCOM están a disposición para atender preguntas, prestar apoyo y compartir las mejores prácticas en cada etapa de implementación de la GBON.</w:t>
      </w:r>
    </w:p>
    <w:p w14:paraId="291E9EC0" w14:textId="77777777" w:rsidR="00F518CE" w:rsidRPr="002E7790" w:rsidRDefault="00CF7552" w:rsidP="00F3447A">
      <w:pPr>
        <w:pStyle w:val="Bodytext"/>
        <w:keepNext/>
        <w:keepLines/>
        <w:rPr>
          <w:b/>
          <w:bCs/>
          <w:szCs w:val="20"/>
          <w:lang w:val="es-ES"/>
        </w:rPr>
      </w:pPr>
      <w:r>
        <w:rPr>
          <w:b/>
          <w:bCs/>
          <w:lang w:val="es-ES"/>
        </w:rPr>
        <w:lastRenderedPageBreak/>
        <w:t>5.2.3</w:t>
      </w:r>
      <w:r>
        <w:rPr>
          <w:lang w:val="es-ES"/>
        </w:rPr>
        <w:tab/>
      </w:r>
      <w:r>
        <w:rPr>
          <w:b/>
          <w:bCs/>
          <w:lang w:val="es-ES"/>
        </w:rPr>
        <w:t>Consideraciones sobre sostenibilidad medioambiental</w:t>
      </w:r>
    </w:p>
    <w:p w14:paraId="16BCF435" w14:textId="195BA834" w:rsidR="00F518CE" w:rsidRPr="002E7790" w:rsidRDefault="00F518CE" w:rsidP="00F3447A">
      <w:pPr>
        <w:pStyle w:val="Bodytext"/>
        <w:keepNext/>
        <w:keepLines/>
        <w:rPr>
          <w:szCs w:val="20"/>
          <w:lang w:val="es-ES"/>
        </w:rPr>
      </w:pPr>
      <w:r>
        <w:rPr>
          <w:lang w:val="es-ES"/>
        </w:rPr>
        <w:t>La Comisión de Observaciones, Infraestructura y Sistemas de Información</w:t>
      </w:r>
      <w:r w:rsidR="00630D27">
        <w:rPr>
          <w:lang w:val="es-ES"/>
        </w:rPr>
        <w:t xml:space="preserve"> de la OMM</w:t>
      </w:r>
      <w:r>
        <w:rPr>
          <w:lang w:val="es-ES"/>
        </w:rPr>
        <w:t xml:space="preserve"> (INFCOM) solicitó, por medio de la Resolución 4 (INFCOM-1), que el futuro desarrollo e implementación de la GBON tuviera en cuenta el impacto medioambiental de los sistemas y métodos de observación.</w:t>
      </w:r>
    </w:p>
    <w:p w14:paraId="69F16187" w14:textId="77777777" w:rsidR="00F518CE" w:rsidRPr="002E7790" w:rsidRDefault="00F518CE" w:rsidP="00F3447A">
      <w:pPr>
        <w:pStyle w:val="Bodytext"/>
        <w:rPr>
          <w:szCs w:val="20"/>
          <w:lang w:val="es-ES"/>
        </w:rPr>
      </w:pPr>
      <w:r>
        <w:rPr>
          <w:lang w:val="es-ES"/>
        </w:rPr>
        <w:t>En esta fase, se alienta a los Miembros a que consideren la sostenibilidad medioambiental en el diseño y la evolución de las redes con el fin de satisfacer los requisitos de resolución horizontal y temporal de la GBON. Para satisfacer los requisitos de observación de la GBON, habrán de adoptarse enfoques pragmáticos y sostenibles a lo largo de toda la cadena de valor de los datos meteorológicos y climáticos, a saber:</w:t>
      </w:r>
    </w:p>
    <w:p w14:paraId="6C3774CC" w14:textId="4721373F" w:rsidR="00F518CE" w:rsidRPr="002E7790" w:rsidRDefault="00F518CE" w:rsidP="00F3447A">
      <w:pPr>
        <w:pStyle w:val="Bodytext"/>
        <w:numPr>
          <w:ilvl w:val="0"/>
          <w:numId w:val="4"/>
        </w:numPr>
        <w:ind w:left="567" w:hanging="567"/>
        <w:rPr>
          <w:szCs w:val="20"/>
          <w:lang w:val="es-ES"/>
        </w:rPr>
      </w:pPr>
      <w:r>
        <w:rPr>
          <w:lang w:val="es-ES"/>
        </w:rPr>
        <w:t>Elaborar y utilizar especificaciones que tengan en cuenta la sostenibilidad medioambiental a la hora de adquirir equipos e instrumentos de medición que satisfagan los requisitos de la GBON;</w:t>
      </w:r>
    </w:p>
    <w:p w14:paraId="2688A082" w14:textId="148B1FD7" w:rsidR="00F518CE" w:rsidRPr="002E7790" w:rsidRDefault="00F518CE" w:rsidP="00F3447A">
      <w:pPr>
        <w:pStyle w:val="Bodytext"/>
        <w:numPr>
          <w:ilvl w:val="0"/>
          <w:numId w:val="4"/>
        </w:numPr>
        <w:ind w:left="567" w:hanging="567"/>
        <w:rPr>
          <w:szCs w:val="20"/>
          <w:lang w:val="es-ES"/>
        </w:rPr>
      </w:pPr>
      <w:r>
        <w:rPr>
          <w:lang w:val="es-ES"/>
        </w:rPr>
        <w:t xml:space="preserve">Incorporar consideraciones sobre sostenibilidad en la reglamentación relativa a la gestión de las operaciones de las estaciones meteorológicas y climáticas conformes con la GBON, </w:t>
      </w:r>
      <w:r w:rsidR="00F67CDA">
        <w:rPr>
          <w:lang w:val="es-ES"/>
        </w:rPr>
        <w:t>incluidas</w:t>
      </w:r>
      <w:r>
        <w:rPr>
          <w:lang w:val="es-ES"/>
        </w:rPr>
        <w:t xml:space="preserve"> </w:t>
      </w:r>
      <w:r w:rsidR="00F67CDA" w:rsidRPr="00F67CDA">
        <w:rPr>
          <w:lang w:val="es-ES"/>
        </w:rPr>
        <w:t xml:space="preserve">las </w:t>
      </w:r>
      <w:r w:rsidR="00024F30">
        <w:rPr>
          <w:lang w:val="es-ES"/>
        </w:rPr>
        <w:t xml:space="preserve">relativas a las </w:t>
      </w:r>
      <w:r w:rsidR="00F67CDA" w:rsidRPr="00F67CDA">
        <w:rPr>
          <w:lang w:val="es-ES"/>
        </w:rPr>
        <w:t>operaciones de</w:t>
      </w:r>
      <w:r>
        <w:rPr>
          <w:lang w:val="es-ES"/>
        </w:rPr>
        <w:t xml:space="preserve"> instalación, calibración y mantenimiento;</w:t>
      </w:r>
    </w:p>
    <w:p w14:paraId="6282725E" w14:textId="29629CF1" w:rsidR="00F518CE" w:rsidRPr="002E7790" w:rsidRDefault="00F518CE" w:rsidP="00F3447A">
      <w:pPr>
        <w:pStyle w:val="Bodytext"/>
        <w:numPr>
          <w:ilvl w:val="0"/>
          <w:numId w:val="4"/>
        </w:numPr>
        <w:ind w:left="567" w:hanging="567"/>
        <w:rPr>
          <w:szCs w:val="20"/>
          <w:lang w:val="es-ES"/>
        </w:rPr>
      </w:pPr>
      <w:r>
        <w:rPr>
          <w:lang w:val="es-ES"/>
        </w:rPr>
        <w:t>Seleccionar cuidadosamente el material para la preparación, el envío y las operaciones diarias de las estaciones conformes con la GBON, prestando especial atención a la fabricación y utilización de instrumentos reutilizables y métodos sostenibles de observación (por ejemplo, eliminación de productos de plástico desechables).</w:t>
      </w:r>
    </w:p>
    <w:p w14:paraId="416A6381" w14:textId="77777777" w:rsidR="00DF4B77" w:rsidRPr="00D6066E" w:rsidRDefault="00F518CE" w:rsidP="00F3447A">
      <w:pPr>
        <w:pStyle w:val="Bodytext"/>
        <w:rPr>
          <w:szCs w:val="20"/>
          <w:lang w:val="es-ES"/>
        </w:rPr>
      </w:pPr>
      <w:r>
        <w:rPr>
          <w:lang w:val="es-ES"/>
        </w:rPr>
        <w:t xml:space="preserve">Las recomendaciones relacionadas con la sostenibilidad medioambiental se tendrán en cuenta para futuras modificaciones de los textos reglamentarios del WIGOS y del material de orientación relativo a la GBON, con el objetivo a largo plazo de avanzar hacia sistemas, tecnologías y prácticas de observación meteorológica y climática más respetuosos con el medioambiente. Estas recomendaciones irán evolucionando y concretándose con el tiempo, a medida que se vaya recopilando y analizando nueva información y materializándose en </w:t>
      </w:r>
      <w:r w:rsidRPr="00D6066E">
        <w:rPr>
          <w:szCs w:val="20"/>
          <w:lang w:val="es-ES"/>
        </w:rPr>
        <w:t>requisitos.</w:t>
      </w:r>
    </w:p>
    <w:p w14:paraId="29782029" w14:textId="77777777" w:rsidR="00D44EA6" w:rsidRPr="00D6066E" w:rsidRDefault="00C97B4E" w:rsidP="00F3447A">
      <w:pPr>
        <w:pStyle w:val="ListParagraph"/>
        <w:spacing w:before="240" w:after="200" w:line="276" w:lineRule="auto"/>
        <w:ind w:left="357" w:hanging="357"/>
        <w:outlineLvl w:val="2"/>
        <w:rPr>
          <w:rFonts w:ascii="Verdana" w:hAnsi="Verdana"/>
          <w:b/>
          <w:bCs/>
          <w:color w:val="auto"/>
          <w:sz w:val="20"/>
          <w:szCs w:val="20"/>
          <w:lang w:val="es-ES"/>
        </w:rPr>
      </w:pPr>
      <w:r w:rsidRPr="00D6066E">
        <w:rPr>
          <w:rFonts w:ascii="Verdana" w:hAnsi="Verdana"/>
          <w:b/>
          <w:bCs/>
          <w:sz w:val="20"/>
          <w:szCs w:val="20"/>
          <w:lang w:val="es-ES"/>
        </w:rPr>
        <w:t>5.3</w:t>
      </w:r>
      <w:r w:rsidRPr="00D6066E">
        <w:rPr>
          <w:rFonts w:ascii="Verdana" w:hAnsi="Verdana"/>
          <w:sz w:val="20"/>
          <w:szCs w:val="20"/>
          <w:lang w:val="es-ES"/>
        </w:rPr>
        <w:tab/>
      </w:r>
      <w:r w:rsidRPr="00D6066E">
        <w:rPr>
          <w:rFonts w:ascii="Verdana" w:hAnsi="Verdana"/>
          <w:sz w:val="20"/>
          <w:szCs w:val="20"/>
          <w:lang w:val="es-ES"/>
        </w:rPr>
        <w:tab/>
      </w:r>
      <w:r w:rsidRPr="00D6066E">
        <w:rPr>
          <w:rFonts w:ascii="Verdana" w:hAnsi="Verdana"/>
          <w:b/>
          <w:bCs/>
          <w:sz w:val="20"/>
          <w:szCs w:val="20"/>
          <w:lang w:val="es-ES"/>
        </w:rPr>
        <w:t>Plan de contribuciones nacionales a la GBON</w:t>
      </w:r>
    </w:p>
    <w:p w14:paraId="007685A3" w14:textId="10599E72" w:rsidR="00C56A10" w:rsidRPr="00D6066E" w:rsidRDefault="00C56A10" w:rsidP="00F3447A">
      <w:pPr>
        <w:pStyle w:val="ListParagraph"/>
        <w:spacing w:after="240" w:line="240" w:lineRule="exact"/>
        <w:ind w:left="0"/>
        <w:rPr>
          <w:rFonts w:ascii="Verdana" w:hAnsi="Verdana"/>
          <w:color w:val="auto"/>
          <w:sz w:val="20"/>
          <w:szCs w:val="20"/>
          <w:lang w:val="es-ES"/>
        </w:rPr>
      </w:pPr>
      <w:r w:rsidRPr="00D6066E">
        <w:rPr>
          <w:rFonts w:ascii="Verdana" w:hAnsi="Verdana"/>
          <w:sz w:val="20"/>
          <w:szCs w:val="20"/>
          <w:lang w:val="es-ES"/>
        </w:rPr>
        <w:t xml:space="preserve">El plan de contribuciones nacionales a la GBON establece la base de los planes y esfuerzos de los Miembros para cumplir con la GBON. El análisis de carencias de la GBON a nivel nacional, que se realiza antes de preparar este plan, sirve de base analítica para su elaboración. Sobre la base de los resultados del análisis, el Miembro establece en el plan una meta </w:t>
      </w:r>
      <w:r w:rsidR="007252F8">
        <w:rPr>
          <w:rFonts w:ascii="Verdana" w:hAnsi="Verdana"/>
          <w:sz w:val="20"/>
          <w:szCs w:val="20"/>
          <w:lang w:val="es-ES"/>
        </w:rPr>
        <w:t>relativa a</w:t>
      </w:r>
      <w:r w:rsidRPr="00D6066E">
        <w:rPr>
          <w:rFonts w:ascii="Verdana" w:hAnsi="Verdana"/>
          <w:sz w:val="20"/>
          <w:szCs w:val="20"/>
          <w:lang w:val="es-ES"/>
        </w:rPr>
        <w:t xml:space="preserve"> la GBON y las actividades encaminadas a alcanzarla.</w:t>
      </w:r>
    </w:p>
    <w:p w14:paraId="5DF16F4B" w14:textId="77777777" w:rsidR="00C56A10" w:rsidRPr="00D6066E" w:rsidRDefault="00C56A10" w:rsidP="00F3447A">
      <w:pPr>
        <w:pStyle w:val="ListParagraph"/>
        <w:spacing w:after="240" w:line="240" w:lineRule="exact"/>
        <w:ind w:left="0"/>
        <w:rPr>
          <w:rFonts w:ascii="Verdana" w:hAnsi="Verdana"/>
          <w:color w:val="auto"/>
          <w:sz w:val="20"/>
          <w:szCs w:val="20"/>
          <w:lang w:val="es-ES"/>
        </w:rPr>
      </w:pPr>
      <w:r w:rsidRPr="00D6066E">
        <w:rPr>
          <w:rFonts w:ascii="Verdana" w:hAnsi="Verdana"/>
          <w:sz w:val="20"/>
          <w:szCs w:val="20"/>
          <w:lang w:val="es-ES"/>
        </w:rPr>
        <w:t>El objetivo del plan de contribuciones nacionales a la GBON es identificar la infraestructura de observación, la capacidad humana e institucional necesarias para alcanzar progresivamente la meta de cumplimiento de la GBON y un nivel sostenible de funcionamiento y mantenimiento de la red nacional de observaciones.</w:t>
      </w:r>
    </w:p>
    <w:p w14:paraId="1247691E" w14:textId="61009DFE" w:rsidR="005F5DC9" w:rsidRPr="00D6066E" w:rsidRDefault="00C56A10" w:rsidP="00F3447A">
      <w:pPr>
        <w:pStyle w:val="ListParagraph"/>
        <w:spacing w:after="240" w:line="240" w:lineRule="exact"/>
        <w:ind w:left="0"/>
        <w:rPr>
          <w:rFonts w:ascii="Verdana" w:hAnsi="Verdana"/>
          <w:color w:val="auto"/>
          <w:sz w:val="20"/>
          <w:szCs w:val="20"/>
          <w:lang w:val="es-ES"/>
        </w:rPr>
      </w:pPr>
      <w:r w:rsidRPr="00D6066E">
        <w:rPr>
          <w:rFonts w:ascii="Verdana" w:hAnsi="Verdana"/>
          <w:sz w:val="20"/>
          <w:szCs w:val="20"/>
          <w:lang w:val="es-ES"/>
        </w:rPr>
        <w:t xml:space="preserve">Las directrices están estructuradas en cinco módulos que constituyen los elementos constitutivos del plan. Estos cinco módulos se abordan en paralelo </w:t>
      </w:r>
      <w:r w:rsidR="00FD3C7E">
        <w:rPr>
          <w:rFonts w:ascii="Verdana" w:hAnsi="Verdana"/>
          <w:sz w:val="20"/>
          <w:szCs w:val="20"/>
          <w:lang w:val="es-ES"/>
        </w:rPr>
        <w:t xml:space="preserve">para que </w:t>
      </w:r>
      <w:r w:rsidRPr="00D6066E">
        <w:rPr>
          <w:rFonts w:ascii="Verdana" w:hAnsi="Verdana"/>
          <w:sz w:val="20"/>
          <w:szCs w:val="20"/>
          <w:lang w:val="es-ES"/>
        </w:rPr>
        <w:t xml:space="preserve">de </w:t>
      </w:r>
      <w:r w:rsidR="00FD3C7E">
        <w:rPr>
          <w:rFonts w:ascii="Verdana" w:hAnsi="Verdana"/>
          <w:sz w:val="20"/>
          <w:szCs w:val="20"/>
          <w:lang w:val="es-ES"/>
        </w:rPr>
        <w:t xml:space="preserve">ese </w:t>
      </w:r>
      <w:r w:rsidRPr="00D6066E">
        <w:rPr>
          <w:rFonts w:ascii="Verdana" w:hAnsi="Verdana"/>
          <w:sz w:val="20"/>
          <w:szCs w:val="20"/>
          <w:lang w:val="es-ES"/>
        </w:rPr>
        <w:t>modo el plan final se ajuste a cada uno de los resultados de los módulos.</w:t>
      </w:r>
    </w:p>
    <w:p w14:paraId="58984CCF" w14:textId="77777777" w:rsidR="00712633" w:rsidRPr="00E4666D" w:rsidRDefault="00CF7552" w:rsidP="00F3447A">
      <w:pPr>
        <w:spacing w:after="240" w:line="240" w:lineRule="exact"/>
        <w:rPr>
          <w:rFonts w:eastAsia="Segoe UI" w:cs="Segoe UI"/>
          <w:b/>
          <w:bCs/>
          <w:color w:val="auto"/>
          <w:lang w:val="es-ES"/>
        </w:rPr>
      </w:pPr>
      <w:bookmarkStart w:id="33" w:name="_Toc107569108"/>
      <w:bookmarkStart w:id="34" w:name="_Toc1696976889"/>
      <w:bookmarkStart w:id="35" w:name="_Toc2105570161"/>
      <w:bookmarkStart w:id="36" w:name="_Toc434288543"/>
      <w:r>
        <w:rPr>
          <w:b/>
          <w:bCs/>
          <w:lang w:val="es-ES"/>
        </w:rPr>
        <w:t>5.3.1</w:t>
      </w:r>
      <w:r>
        <w:rPr>
          <w:lang w:val="es-ES"/>
        </w:rPr>
        <w:tab/>
      </w:r>
      <w:r>
        <w:rPr>
          <w:b/>
          <w:bCs/>
          <w:lang w:val="es-ES"/>
        </w:rPr>
        <w:t>Elaboración del plan de contribuciones nacionales a la GBON</w:t>
      </w:r>
      <w:bookmarkEnd w:id="33"/>
      <w:bookmarkEnd w:id="34"/>
      <w:bookmarkEnd w:id="35"/>
      <w:bookmarkEnd w:id="36"/>
    </w:p>
    <w:p w14:paraId="65C781C8" w14:textId="77777777" w:rsidR="00712633" w:rsidRPr="00E4666D" w:rsidRDefault="00712633" w:rsidP="00F3447A">
      <w:pPr>
        <w:spacing w:after="240" w:line="240" w:lineRule="exact"/>
        <w:rPr>
          <w:rFonts w:eastAsia="Segoe UI" w:cs="Segoe UI"/>
          <w:color w:val="auto"/>
          <w:lang w:val="es-ES"/>
        </w:rPr>
      </w:pPr>
      <w:r>
        <w:rPr>
          <w:lang w:val="es-ES"/>
        </w:rPr>
        <w:t>Las directrices están estructuradas en cinco módulos que abordan diferentes ámbitos necesarios para la implementación de la GBON, y proporcionan, para cada módulo, una lista de actividades y resultados previstos que deberán alcanzarse en función de las instalaciones y capacidades disponibles de la infraestructura de observación nacional.</w:t>
      </w:r>
    </w:p>
    <w:p w14:paraId="31CAB4AB" w14:textId="77777777" w:rsidR="00712633" w:rsidRPr="00E4666D" w:rsidRDefault="00712633" w:rsidP="00F3447A">
      <w:pPr>
        <w:keepNext/>
        <w:spacing w:after="240" w:line="240" w:lineRule="exact"/>
        <w:rPr>
          <w:rFonts w:eastAsia="Segoe UI" w:cs="Segoe UI"/>
          <w:color w:val="auto"/>
          <w:lang w:val="es-ES"/>
        </w:rPr>
      </w:pPr>
      <w:r>
        <w:rPr>
          <w:lang w:val="es-ES"/>
        </w:rPr>
        <w:t>El plan cuenta con los siguientes módulos:</w:t>
      </w:r>
    </w:p>
    <w:p w14:paraId="4881C3E3" w14:textId="77777777" w:rsidR="00712633" w:rsidRPr="00E4666D" w:rsidRDefault="00712633" w:rsidP="00355C1B">
      <w:pPr>
        <w:numPr>
          <w:ilvl w:val="0"/>
          <w:numId w:val="16"/>
        </w:numPr>
        <w:spacing w:after="240" w:line="240" w:lineRule="exact"/>
        <w:ind w:left="567" w:hanging="567"/>
        <w:rPr>
          <w:rFonts w:eastAsia="Yu Mincho"/>
          <w:color w:val="auto"/>
          <w:lang w:val="es-ES"/>
        </w:rPr>
      </w:pPr>
      <w:r>
        <w:rPr>
          <w:b/>
          <w:bCs/>
          <w:lang w:val="es-ES"/>
        </w:rPr>
        <w:lastRenderedPageBreak/>
        <w:t>Módulo 1.</w:t>
      </w:r>
      <w:r>
        <w:rPr>
          <w:lang w:val="es-ES"/>
        </w:rPr>
        <w:t xml:space="preserve"> </w:t>
      </w:r>
      <w:r>
        <w:rPr>
          <w:b/>
          <w:bCs/>
          <w:lang w:val="es-ES"/>
        </w:rPr>
        <w:t>Meta de la GBON a nivel nacional:</w:t>
      </w:r>
      <w:r>
        <w:rPr>
          <w:lang w:val="es-ES"/>
        </w:rPr>
        <w:t xml:space="preserve"> meta nacional encaminada al cumplimiento de la GBON que tiene en cuenta las circunstancias del país.</w:t>
      </w:r>
      <w:bookmarkStart w:id="37" w:name="_Hlk121726021"/>
      <w:bookmarkEnd w:id="37"/>
    </w:p>
    <w:p w14:paraId="3544A50C" w14:textId="77777777" w:rsidR="00712633" w:rsidRPr="00E4666D" w:rsidRDefault="00712633" w:rsidP="00355C1B">
      <w:pPr>
        <w:numPr>
          <w:ilvl w:val="0"/>
          <w:numId w:val="16"/>
        </w:numPr>
        <w:spacing w:after="240" w:line="240" w:lineRule="exact"/>
        <w:ind w:left="567" w:hanging="567"/>
        <w:rPr>
          <w:rFonts w:eastAsia="Calibri"/>
          <w:color w:val="auto"/>
          <w:lang w:val="es-ES"/>
        </w:rPr>
      </w:pPr>
      <w:r>
        <w:rPr>
          <w:b/>
          <w:bCs/>
          <w:lang w:val="es-ES"/>
        </w:rPr>
        <w:t>Módulo 2.</w:t>
      </w:r>
      <w:r>
        <w:rPr>
          <w:lang w:val="es-ES"/>
        </w:rPr>
        <w:t xml:space="preserve"> </w:t>
      </w:r>
      <w:r>
        <w:rPr>
          <w:b/>
          <w:bCs/>
          <w:lang w:val="es-ES"/>
        </w:rPr>
        <w:t>Desarrollo de la capacidad institucional:</w:t>
      </w:r>
      <w:r>
        <w:rPr>
          <w:lang w:val="es-ES"/>
        </w:rPr>
        <w:t xml:space="preserve"> capacidades institucionales necesarias para operar, mantener y gestionar la red de observaciones GBON.</w:t>
      </w:r>
    </w:p>
    <w:p w14:paraId="257C7F13" w14:textId="77777777" w:rsidR="00712633" w:rsidRPr="00E4666D" w:rsidRDefault="00712633" w:rsidP="00355C1B">
      <w:pPr>
        <w:numPr>
          <w:ilvl w:val="0"/>
          <w:numId w:val="16"/>
        </w:numPr>
        <w:spacing w:after="240" w:line="240" w:lineRule="exact"/>
        <w:ind w:left="567" w:hanging="567"/>
        <w:rPr>
          <w:rFonts w:eastAsia="Segoe UI" w:cs="Segoe UI"/>
          <w:color w:val="auto"/>
          <w:lang w:val="es-ES"/>
        </w:rPr>
      </w:pPr>
      <w:r>
        <w:rPr>
          <w:b/>
          <w:bCs/>
          <w:lang w:val="es-ES"/>
        </w:rPr>
        <w:t>Módulo 3.</w:t>
      </w:r>
      <w:r>
        <w:rPr>
          <w:lang w:val="es-ES"/>
        </w:rPr>
        <w:t xml:space="preserve"> </w:t>
      </w:r>
      <w:r>
        <w:rPr>
          <w:b/>
          <w:bCs/>
          <w:lang w:val="es-ES"/>
        </w:rPr>
        <w:t>Desarrollo de infraestructuras:</w:t>
      </w:r>
      <w:r>
        <w:rPr>
          <w:lang w:val="es-ES"/>
        </w:rPr>
        <w:t xml:space="preserve"> infraestructura de la red de observaciones necesaria para alcanzar la meta y cumplir las disposiciones de la GBON a nivel nacional.</w:t>
      </w:r>
    </w:p>
    <w:p w14:paraId="3423BAD8" w14:textId="77777777" w:rsidR="00712633" w:rsidRPr="00E4666D" w:rsidRDefault="00712633" w:rsidP="00355C1B">
      <w:pPr>
        <w:numPr>
          <w:ilvl w:val="0"/>
          <w:numId w:val="16"/>
        </w:numPr>
        <w:spacing w:after="240" w:line="240" w:lineRule="exact"/>
        <w:ind w:left="567" w:hanging="567"/>
        <w:rPr>
          <w:rFonts w:eastAsia="Segoe UI" w:cs="Segoe UI"/>
          <w:color w:val="auto"/>
          <w:lang w:val="es-ES"/>
        </w:rPr>
      </w:pPr>
      <w:r>
        <w:rPr>
          <w:b/>
          <w:bCs/>
          <w:lang w:val="es-ES"/>
        </w:rPr>
        <w:t>Módulo 4.</w:t>
      </w:r>
      <w:r>
        <w:rPr>
          <w:lang w:val="es-ES"/>
        </w:rPr>
        <w:t xml:space="preserve"> </w:t>
      </w:r>
      <w:r>
        <w:rPr>
          <w:b/>
          <w:bCs/>
          <w:lang w:val="es-ES"/>
        </w:rPr>
        <w:t>Desarrollo de la capacidad humana:</w:t>
      </w:r>
      <w:r>
        <w:rPr>
          <w:lang w:val="es-ES"/>
        </w:rPr>
        <w:t xml:space="preserve"> capacidad humana necesaria para gestionar, operar y mantener la red de observaciones GBON.</w:t>
      </w:r>
    </w:p>
    <w:p w14:paraId="59C3BA1F" w14:textId="77777777" w:rsidR="00712633" w:rsidRPr="00E4666D" w:rsidRDefault="00712633" w:rsidP="00355C1B">
      <w:pPr>
        <w:numPr>
          <w:ilvl w:val="0"/>
          <w:numId w:val="16"/>
        </w:numPr>
        <w:spacing w:after="240" w:line="240" w:lineRule="exact"/>
        <w:ind w:left="567" w:hanging="567"/>
        <w:rPr>
          <w:rFonts w:eastAsia="Calibri"/>
          <w:color w:val="auto"/>
          <w:lang w:val="es-ES"/>
        </w:rPr>
      </w:pPr>
      <w:r>
        <w:rPr>
          <w:b/>
          <w:bCs/>
          <w:lang w:val="es-ES"/>
        </w:rPr>
        <w:t>Módulo 5.</w:t>
      </w:r>
      <w:r>
        <w:rPr>
          <w:lang w:val="es-ES"/>
        </w:rPr>
        <w:t xml:space="preserve"> </w:t>
      </w:r>
      <w:r>
        <w:rPr>
          <w:b/>
          <w:bCs/>
          <w:lang w:val="es-ES"/>
        </w:rPr>
        <w:t>Gestión de riesgos:</w:t>
      </w:r>
      <w:r>
        <w:rPr>
          <w:lang w:val="es-ES"/>
        </w:rPr>
        <w:t xml:space="preserve"> riesgos operativos de la red de observaciones y medidas de mitigación necesarias.</w:t>
      </w:r>
    </w:p>
    <w:p w14:paraId="44C8264E" w14:textId="16CDC1B7" w:rsidR="00712633" w:rsidRPr="00E4666D" w:rsidRDefault="00712633" w:rsidP="00355C1B">
      <w:pPr>
        <w:spacing w:after="240" w:line="240" w:lineRule="exact"/>
        <w:rPr>
          <w:rFonts w:eastAsia="Segoe UI" w:cs="Segoe UI"/>
          <w:color w:val="auto"/>
          <w:lang w:val="es-ES"/>
        </w:rPr>
      </w:pPr>
      <w:r>
        <w:rPr>
          <w:lang w:val="es-ES"/>
        </w:rPr>
        <w:t xml:space="preserve">En cada módulo se enumeran las actividades recomendadas y los resultados previstos. Las actividades clave y las mejores prácticas deben armonizarse con la estrategia nacional para las redes de observación y </w:t>
      </w:r>
      <w:r w:rsidR="00CD0498" w:rsidRPr="00CD0498">
        <w:rPr>
          <w:lang w:val="es-ES"/>
        </w:rPr>
        <w:t>adaptarse a las necesidades de cada Miembro</w:t>
      </w:r>
      <w:r>
        <w:rPr>
          <w:lang w:val="es-ES"/>
        </w:rPr>
        <w:t xml:space="preserve">. Los sistemas, procesos y prácticas operativos ya existentes deben </w:t>
      </w:r>
      <w:r w:rsidR="00A95E4F">
        <w:rPr>
          <w:lang w:val="es-ES"/>
        </w:rPr>
        <w:t>emplearse</w:t>
      </w:r>
      <w:r>
        <w:rPr>
          <w:lang w:val="es-ES"/>
        </w:rPr>
        <w:t xml:space="preserve"> cuando proceda. El calendario preliminar y las consecuencias financieras deben tenerse en cuenta como parte de cada módulo del plan.</w:t>
      </w:r>
    </w:p>
    <w:p w14:paraId="4D725F84" w14:textId="77777777" w:rsidR="00712633" w:rsidRPr="00E4666D" w:rsidRDefault="00712633" w:rsidP="00355C1B">
      <w:pPr>
        <w:spacing w:after="240" w:line="240" w:lineRule="exact"/>
        <w:rPr>
          <w:rFonts w:eastAsia="Segoe UI" w:cs="Segoe UI"/>
          <w:color w:val="auto"/>
          <w:lang w:val="es-ES"/>
        </w:rPr>
      </w:pPr>
      <w:r>
        <w:rPr>
          <w:lang w:val="es-ES"/>
        </w:rPr>
        <w:t>Los módulos proporcionan un enfoque normalizado que puede ajustarse en función de las necesidades y expectativas nacionales.</w:t>
      </w:r>
    </w:p>
    <w:p w14:paraId="37C73B59" w14:textId="77777777" w:rsidR="00712633" w:rsidRPr="00E4666D" w:rsidRDefault="00712633" w:rsidP="00355C1B">
      <w:pPr>
        <w:spacing w:after="240" w:line="240" w:lineRule="exact"/>
        <w:rPr>
          <w:rFonts w:eastAsia="Segoe UI" w:cs="Segoe UI"/>
          <w:color w:val="auto"/>
          <w:lang w:val="es-ES"/>
        </w:rPr>
      </w:pPr>
      <w:r>
        <w:rPr>
          <w:lang w:val="es-ES"/>
        </w:rPr>
        <w:t>Las actividades deben planificarse con vistas a alcanzar la meta fijada para cumplir las disposiciones de la GBON a nivel nacional en cada uno de los módulos. El plan debe revisarse periódicamente con el fin de avanzar en las actividades definidas y lograr el pleno cumplimiento de la GBON de forma sostenible.</w:t>
      </w:r>
    </w:p>
    <w:p w14:paraId="713C8A7D" w14:textId="77777777" w:rsidR="00712633" w:rsidRPr="00E4666D" w:rsidRDefault="00712633" w:rsidP="00355C1B">
      <w:pPr>
        <w:keepNext/>
        <w:keepLines/>
        <w:spacing w:after="240" w:line="240" w:lineRule="exact"/>
        <w:rPr>
          <w:rFonts w:eastAsia="Segoe UI" w:cs="Segoe UI"/>
          <w:b/>
          <w:bCs/>
          <w:color w:val="auto"/>
          <w:lang w:val="es-ES"/>
        </w:rPr>
      </w:pPr>
      <w:bookmarkStart w:id="38" w:name="_Toc107569109"/>
      <w:r>
        <w:rPr>
          <w:b/>
          <w:bCs/>
          <w:lang w:val="es-ES"/>
        </w:rPr>
        <w:t>Módulo 1: Meta de la GBON a nivel nacional</w:t>
      </w:r>
      <w:bookmarkEnd w:id="38"/>
    </w:p>
    <w:p w14:paraId="3A99D05A" w14:textId="77777777" w:rsidR="00712633" w:rsidRPr="00E4666D" w:rsidRDefault="00712633" w:rsidP="00355C1B">
      <w:pPr>
        <w:keepNext/>
        <w:keepLines/>
        <w:spacing w:after="240" w:line="240" w:lineRule="exact"/>
        <w:rPr>
          <w:rFonts w:eastAsia="Segoe UI" w:cs="Segoe UI"/>
          <w:color w:val="auto"/>
          <w:lang w:val="es-ES"/>
        </w:rPr>
      </w:pPr>
      <w:r>
        <w:rPr>
          <w:lang w:val="es-ES"/>
        </w:rPr>
        <w:t>Sobre la base de los resultados del análisis de carencias de la GBON a nivel nacional, el Miembro establece una meta encaminada al cumplimiento progresivo de las disposiciones de la GBON. La meta debe ser progresiva, de modo que los elementos que la integran vayan aumentando periódicamente para que el país alcance el pleno cumplimiento de la GBON en un plazo razonable. La meta refleja el nivel de ambición de los Miembros, y tiene en cuenta el proceso gradual, las circunstancias nacionales y la viabilidad de la puesta en marcha de las actividades destinadas a alcanzar dicha meta. Las actividades y los resultados del Módulo 1 se resumen en el cuadro 5.7.</w:t>
      </w:r>
    </w:p>
    <w:p w14:paraId="39DAD8C0" w14:textId="77777777" w:rsidR="00233607" w:rsidRPr="00E4666D" w:rsidRDefault="00233607" w:rsidP="0059699A">
      <w:pPr>
        <w:spacing w:after="240" w:line="240" w:lineRule="exact"/>
        <w:jc w:val="center"/>
        <w:rPr>
          <w:b/>
          <w:bCs/>
          <w:lang w:val="es-ES"/>
        </w:rPr>
      </w:pPr>
      <w:r>
        <w:rPr>
          <w:b/>
          <w:bCs/>
          <w:lang w:val="es-ES"/>
        </w:rPr>
        <w:t>Cuadro 5.7.</w:t>
      </w:r>
      <w:r>
        <w:rPr>
          <w:lang w:val="es-ES"/>
        </w:rPr>
        <w:t xml:space="preserve"> </w:t>
      </w:r>
      <w:r>
        <w:rPr>
          <w:b/>
          <w:bCs/>
          <w:lang w:val="es-ES"/>
        </w:rPr>
        <w:t>Actividades y resultados del Módulo 1</w:t>
      </w:r>
    </w:p>
    <w:tbl>
      <w:tblPr>
        <w:tblStyle w:val="TableGrid1"/>
        <w:tblW w:w="1006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A0" w:firstRow="1" w:lastRow="0" w:firstColumn="1" w:lastColumn="0" w:noHBand="1" w:noVBand="1"/>
      </w:tblPr>
      <w:tblGrid>
        <w:gridCol w:w="988"/>
        <w:gridCol w:w="2590"/>
        <w:gridCol w:w="4321"/>
        <w:gridCol w:w="2161"/>
      </w:tblGrid>
      <w:tr w:rsidR="007B157A" w:rsidRPr="00D6066E" w14:paraId="1EEDE70E" w14:textId="77777777" w:rsidTr="00355C1B">
        <w:trPr>
          <w:trHeight w:val="525"/>
          <w:jc w:val="center"/>
        </w:trPr>
        <w:tc>
          <w:tcPr>
            <w:tcW w:w="988" w:type="dxa"/>
            <w:shd w:val="clear" w:color="auto" w:fill="auto"/>
            <w:vAlign w:val="center"/>
          </w:tcPr>
          <w:p w14:paraId="1BB9FF3D" w14:textId="77777777" w:rsidR="00712633" w:rsidRPr="00D6066E" w:rsidRDefault="00712633" w:rsidP="00C90BAB">
            <w:pPr>
              <w:keepNext/>
              <w:keepLines/>
              <w:spacing w:before="60" w:after="60"/>
              <w:jc w:val="center"/>
              <w:rPr>
                <w:rFonts w:eastAsia="Segoe UI" w:cs="Segoe UI"/>
                <w:b/>
                <w:bCs/>
                <w:color w:val="auto"/>
                <w:sz w:val="20"/>
                <w:szCs w:val="20"/>
              </w:rPr>
            </w:pPr>
            <w:r w:rsidRPr="00D6066E">
              <w:rPr>
                <w:b/>
                <w:bCs/>
                <w:sz w:val="20"/>
                <w:szCs w:val="20"/>
                <w:lang w:val="es-ES"/>
              </w:rPr>
              <w:t>Punto</w:t>
            </w:r>
          </w:p>
        </w:tc>
        <w:tc>
          <w:tcPr>
            <w:tcW w:w="2590" w:type="dxa"/>
            <w:shd w:val="clear" w:color="auto" w:fill="auto"/>
            <w:vAlign w:val="center"/>
          </w:tcPr>
          <w:p w14:paraId="4981978F" w14:textId="77777777" w:rsidR="00712633" w:rsidRPr="00D6066E" w:rsidRDefault="00712633" w:rsidP="00C90BAB">
            <w:pPr>
              <w:keepNext/>
              <w:keepLines/>
              <w:spacing w:before="60" w:after="60"/>
              <w:jc w:val="center"/>
              <w:rPr>
                <w:rFonts w:eastAsia="Segoe UI" w:cs="Segoe UI"/>
                <w:b/>
                <w:bCs/>
                <w:color w:val="auto"/>
                <w:sz w:val="20"/>
                <w:szCs w:val="20"/>
              </w:rPr>
            </w:pPr>
            <w:r w:rsidRPr="00D6066E">
              <w:rPr>
                <w:b/>
                <w:bCs/>
                <w:sz w:val="20"/>
                <w:szCs w:val="20"/>
                <w:lang w:val="es-ES"/>
              </w:rPr>
              <w:t>Actividad</w:t>
            </w:r>
          </w:p>
        </w:tc>
        <w:tc>
          <w:tcPr>
            <w:tcW w:w="4321" w:type="dxa"/>
            <w:shd w:val="clear" w:color="auto" w:fill="auto"/>
            <w:vAlign w:val="center"/>
          </w:tcPr>
          <w:p w14:paraId="0BA01EF8" w14:textId="77777777" w:rsidR="00712633" w:rsidRPr="00D6066E" w:rsidRDefault="00712633" w:rsidP="00C90BAB">
            <w:pPr>
              <w:keepNext/>
              <w:keepLines/>
              <w:spacing w:before="60" w:after="60"/>
              <w:jc w:val="center"/>
              <w:rPr>
                <w:rFonts w:eastAsia="Segoe UI" w:cs="Segoe UI"/>
                <w:b/>
                <w:bCs/>
                <w:color w:val="auto"/>
                <w:sz w:val="20"/>
                <w:szCs w:val="20"/>
              </w:rPr>
            </w:pPr>
            <w:r w:rsidRPr="00D6066E">
              <w:rPr>
                <w:b/>
                <w:bCs/>
                <w:sz w:val="20"/>
                <w:szCs w:val="20"/>
                <w:lang w:val="es-ES"/>
              </w:rPr>
              <w:t>Resultados</w:t>
            </w:r>
          </w:p>
        </w:tc>
        <w:tc>
          <w:tcPr>
            <w:tcW w:w="2161" w:type="dxa"/>
            <w:shd w:val="clear" w:color="auto" w:fill="auto"/>
            <w:vAlign w:val="center"/>
          </w:tcPr>
          <w:p w14:paraId="18D0D7A7" w14:textId="0C366F00" w:rsidR="00712633" w:rsidRPr="00D6066E" w:rsidRDefault="00712633" w:rsidP="00C90BAB">
            <w:pPr>
              <w:keepNext/>
              <w:keepLines/>
              <w:tabs>
                <w:tab w:val="right" w:pos="2052"/>
              </w:tabs>
              <w:spacing w:before="60" w:after="60"/>
              <w:jc w:val="center"/>
              <w:rPr>
                <w:rFonts w:eastAsia="Segoe UI" w:cs="Segoe UI"/>
                <w:b/>
                <w:bCs/>
                <w:color w:val="auto"/>
                <w:sz w:val="20"/>
                <w:szCs w:val="20"/>
              </w:rPr>
            </w:pPr>
            <w:r w:rsidRPr="00D6066E">
              <w:rPr>
                <w:b/>
                <w:bCs/>
                <w:sz w:val="20"/>
                <w:szCs w:val="20"/>
                <w:lang w:val="es-ES"/>
              </w:rPr>
              <w:t xml:space="preserve">Material de orientación </w:t>
            </w:r>
            <w:r w:rsidR="000E2B90">
              <w:rPr>
                <w:b/>
                <w:bCs/>
                <w:sz w:val="20"/>
                <w:szCs w:val="20"/>
                <w:lang w:val="es-ES"/>
              </w:rPr>
              <w:t>correspondiente</w:t>
            </w:r>
          </w:p>
        </w:tc>
      </w:tr>
      <w:tr w:rsidR="007B157A" w:rsidRPr="00D6066E" w14:paraId="03AFEAE7" w14:textId="77777777" w:rsidTr="00355C1B">
        <w:trPr>
          <w:trHeight w:val="507"/>
          <w:jc w:val="center"/>
        </w:trPr>
        <w:tc>
          <w:tcPr>
            <w:tcW w:w="988" w:type="dxa"/>
            <w:tcBorders>
              <w:top w:val="single" w:sz="4" w:space="0" w:color="808080"/>
              <w:left w:val="single" w:sz="4" w:space="0" w:color="808080"/>
              <w:bottom w:val="single" w:sz="4" w:space="0" w:color="808080"/>
              <w:right w:val="single" w:sz="4" w:space="0" w:color="808080"/>
            </w:tcBorders>
            <w:shd w:val="clear" w:color="auto" w:fill="auto"/>
          </w:tcPr>
          <w:p w14:paraId="27C5BF35" w14:textId="77777777" w:rsidR="00712633" w:rsidRPr="00D6066E" w:rsidRDefault="00712633" w:rsidP="00C90BAB">
            <w:pPr>
              <w:keepNext/>
              <w:keepLines/>
              <w:spacing w:before="60" w:after="60"/>
              <w:jc w:val="center"/>
              <w:rPr>
                <w:rFonts w:eastAsia="Segoe UI" w:cs="Segoe UI"/>
                <w:color w:val="auto"/>
                <w:sz w:val="20"/>
                <w:szCs w:val="20"/>
              </w:rPr>
            </w:pPr>
            <w:r w:rsidRPr="00D6066E">
              <w:rPr>
                <w:sz w:val="20"/>
                <w:szCs w:val="20"/>
                <w:lang w:val="es-ES"/>
              </w:rPr>
              <w:t>1.1</w:t>
            </w:r>
          </w:p>
        </w:tc>
        <w:tc>
          <w:tcPr>
            <w:tcW w:w="2590" w:type="dxa"/>
            <w:tcBorders>
              <w:top w:val="single" w:sz="4" w:space="0" w:color="808080"/>
              <w:left w:val="single" w:sz="4" w:space="0" w:color="808080"/>
              <w:bottom w:val="single" w:sz="4" w:space="0" w:color="808080"/>
              <w:right w:val="single" w:sz="4" w:space="0" w:color="808080"/>
            </w:tcBorders>
            <w:shd w:val="clear" w:color="auto" w:fill="auto"/>
          </w:tcPr>
          <w:p w14:paraId="684513CA" w14:textId="53DE8654" w:rsidR="00712633" w:rsidRPr="00D6066E" w:rsidRDefault="00712633" w:rsidP="00C90BAB">
            <w:pPr>
              <w:keepNext/>
              <w:keepLines/>
              <w:spacing w:before="60" w:after="60"/>
              <w:rPr>
                <w:rFonts w:eastAsia="Segoe UI" w:cs="Segoe UI"/>
                <w:color w:val="auto"/>
                <w:sz w:val="20"/>
                <w:szCs w:val="20"/>
                <w:lang w:val="es-ES"/>
              </w:rPr>
            </w:pPr>
            <w:r w:rsidRPr="00D6066E">
              <w:rPr>
                <w:sz w:val="20"/>
                <w:szCs w:val="20"/>
                <w:lang w:val="es-ES"/>
              </w:rPr>
              <w:t>Realiza</w:t>
            </w:r>
            <w:r w:rsidR="001404EC">
              <w:rPr>
                <w:sz w:val="20"/>
                <w:szCs w:val="20"/>
                <w:lang w:val="es-ES"/>
              </w:rPr>
              <w:t>r</w:t>
            </w:r>
            <w:r w:rsidRPr="00D6066E">
              <w:rPr>
                <w:sz w:val="20"/>
                <w:szCs w:val="20"/>
                <w:lang w:val="es-ES"/>
              </w:rPr>
              <w:t xml:space="preserve"> el análisis de carencias de la GBON a nivel nacional</w:t>
            </w:r>
          </w:p>
        </w:tc>
        <w:tc>
          <w:tcPr>
            <w:tcW w:w="4321" w:type="dxa"/>
            <w:tcBorders>
              <w:top w:val="single" w:sz="4" w:space="0" w:color="808080"/>
              <w:left w:val="single" w:sz="4" w:space="0" w:color="808080"/>
              <w:bottom w:val="single" w:sz="4" w:space="0" w:color="808080"/>
              <w:right w:val="single" w:sz="4" w:space="0" w:color="808080"/>
            </w:tcBorders>
            <w:shd w:val="clear" w:color="auto" w:fill="auto"/>
          </w:tcPr>
          <w:p w14:paraId="3D152DC9" w14:textId="77777777" w:rsidR="00712633" w:rsidRPr="00D6066E" w:rsidRDefault="00712633" w:rsidP="00C90BAB">
            <w:pPr>
              <w:keepNext/>
              <w:keepLines/>
              <w:spacing w:before="60" w:after="60"/>
              <w:rPr>
                <w:rFonts w:eastAsia="Segoe UI" w:cs="Segoe UI"/>
                <w:color w:val="auto"/>
                <w:sz w:val="20"/>
                <w:szCs w:val="20"/>
                <w:lang w:val="es-ES"/>
              </w:rPr>
            </w:pPr>
            <w:r w:rsidRPr="00D6066E">
              <w:rPr>
                <w:sz w:val="20"/>
                <w:szCs w:val="20"/>
                <w:lang w:val="es-ES"/>
              </w:rPr>
              <w:t>Resultados del análisis de carencias como referencia</w:t>
            </w:r>
          </w:p>
        </w:tc>
        <w:tc>
          <w:tcPr>
            <w:tcW w:w="2161"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08A4618" w14:textId="17C8AF93" w:rsidR="00712633" w:rsidRPr="00D6066E" w:rsidRDefault="007B157A" w:rsidP="00C90BAB">
            <w:pPr>
              <w:keepNext/>
              <w:keepLines/>
              <w:spacing w:before="60" w:after="60"/>
              <w:rPr>
                <w:rFonts w:eastAsia="Segoe UI" w:cs="Segoe UI"/>
                <w:color w:val="auto"/>
                <w:sz w:val="20"/>
                <w:szCs w:val="20"/>
              </w:rPr>
            </w:pPr>
            <w:r w:rsidRPr="00D6066E">
              <w:rPr>
                <w:sz w:val="20"/>
                <w:szCs w:val="20"/>
                <w:lang w:val="es-ES"/>
              </w:rPr>
              <w:t>véase la sección</w:t>
            </w:r>
            <w:r w:rsidR="00355C1B">
              <w:rPr>
                <w:sz w:val="20"/>
                <w:szCs w:val="20"/>
                <w:lang w:val="es-ES"/>
              </w:rPr>
              <w:t> </w:t>
            </w:r>
            <w:r w:rsidRPr="00D6066E">
              <w:rPr>
                <w:sz w:val="20"/>
                <w:szCs w:val="20"/>
                <w:lang w:val="es-ES"/>
              </w:rPr>
              <w:t>5.2</w:t>
            </w:r>
          </w:p>
        </w:tc>
      </w:tr>
      <w:tr w:rsidR="007B157A" w:rsidRPr="00AE4BEE" w14:paraId="6E0AC5D9" w14:textId="77777777" w:rsidTr="00355C1B">
        <w:trPr>
          <w:trHeight w:val="507"/>
          <w:jc w:val="center"/>
        </w:trPr>
        <w:tc>
          <w:tcPr>
            <w:tcW w:w="988" w:type="dxa"/>
            <w:tcBorders>
              <w:top w:val="single" w:sz="4" w:space="0" w:color="808080"/>
              <w:left w:val="single" w:sz="4" w:space="0" w:color="808080"/>
              <w:bottom w:val="single" w:sz="4" w:space="0" w:color="808080"/>
              <w:right w:val="single" w:sz="4" w:space="0" w:color="808080"/>
            </w:tcBorders>
            <w:shd w:val="clear" w:color="auto" w:fill="auto"/>
          </w:tcPr>
          <w:p w14:paraId="0ED34DDA" w14:textId="77777777" w:rsidR="00712633" w:rsidRPr="00D6066E" w:rsidRDefault="00712633" w:rsidP="00C90BAB">
            <w:pPr>
              <w:keepNext/>
              <w:keepLines/>
              <w:spacing w:before="60" w:after="60"/>
              <w:jc w:val="center"/>
              <w:rPr>
                <w:rFonts w:eastAsia="Segoe UI" w:cs="Segoe UI"/>
                <w:color w:val="auto"/>
                <w:sz w:val="20"/>
                <w:szCs w:val="20"/>
              </w:rPr>
            </w:pPr>
            <w:r w:rsidRPr="00D6066E">
              <w:rPr>
                <w:sz w:val="20"/>
                <w:szCs w:val="20"/>
                <w:lang w:val="es-ES"/>
              </w:rPr>
              <w:t>1.2</w:t>
            </w:r>
          </w:p>
        </w:tc>
        <w:tc>
          <w:tcPr>
            <w:tcW w:w="2590" w:type="dxa"/>
            <w:tcBorders>
              <w:top w:val="single" w:sz="4" w:space="0" w:color="808080"/>
              <w:left w:val="single" w:sz="4" w:space="0" w:color="808080"/>
              <w:bottom w:val="single" w:sz="4" w:space="0" w:color="808080"/>
              <w:right w:val="single" w:sz="4" w:space="0" w:color="808080"/>
            </w:tcBorders>
            <w:shd w:val="clear" w:color="auto" w:fill="auto"/>
          </w:tcPr>
          <w:p w14:paraId="5B5E64EF" w14:textId="591545D1" w:rsidR="00712633" w:rsidRPr="00D6066E" w:rsidRDefault="00712633" w:rsidP="00C90BAB">
            <w:pPr>
              <w:keepNext/>
              <w:keepLines/>
              <w:spacing w:before="60" w:after="60"/>
              <w:rPr>
                <w:rFonts w:eastAsia="Segoe UI" w:cs="Segoe UI"/>
                <w:color w:val="auto"/>
                <w:sz w:val="20"/>
                <w:szCs w:val="20"/>
                <w:lang w:val="es-ES"/>
              </w:rPr>
            </w:pPr>
            <w:r w:rsidRPr="00D6066E">
              <w:rPr>
                <w:sz w:val="20"/>
                <w:szCs w:val="20"/>
                <w:lang w:val="es-ES"/>
              </w:rPr>
              <w:t>Estable</w:t>
            </w:r>
            <w:r w:rsidR="001404EC">
              <w:rPr>
                <w:sz w:val="20"/>
                <w:szCs w:val="20"/>
                <w:lang w:val="es-ES"/>
              </w:rPr>
              <w:t xml:space="preserve">cer </w:t>
            </w:r>
            <w:r w:rsidRPr="00D6066E">
              <w:rPr>
                <w:sz w:val="20"/>
                <w:szCs w:val="20"/>
                <w:lang w:val="es-ES"/>
              </w:rPr>
              <w:t>la meta encaminada al cumplimiento de las disposiciones de la GBON a nivel nacional</w:t>
            </w:r>
          </w:p>
        </w:tc>
        <w:tc>
          <w:tcPr>
            <w:tcW w:w="4321" w:type="dxa"/>
            <w:tcBorders>
              <w:top w:val="single" w:sz="4" w:space="0" w:color="808080"/>
              <w:left w:val="single" w:sz="4" w:space="0" w:color="808080"/>
              <w:bottom w:val="single" w:sz="4" w:space="0" w:color="808080"/>
              <w:right w:val="single" w:sz="4" w:space="0" w:color="808080"/>
            </w:tcBorders>
            <w:shd w:val="clear" w:color="auto" w:fill="auto"/>
          </w:tcPr>
          <w:p w14:paraId="4F52FC44" w14:textId="7EE0C4CE" w:rsidR="00712633" w:rsidRPr="00D6066E" w:rsidRDefault="00712633" w:rsidP="00C90BAB">
            <w:pPr>
              <w:keepNext/>
              <w:keepLines/>
              <w:spacing w:before="60" w:after="60"/>
              <w:ind w:left="21"/>
              <w:rPr>
                <w:rFonts w:eastAsia="Segoe UI" w:cs="Segoe UI"/>
                <w:color w:val="auto"/>
                <w:sz w:val="20"/>
                <w:szCs w:val="20"/>
                <w:lang w:val="es-ES"/>
              </w:rPr>
            </w:pPr>
            <w:r w:rsidRPr="00D6066E">
              <w:rPr>
                <w:sz w:val="20"/>
                <w:szCs w:val="20"/>
                <w:lang w:val="es-ES"/>
              </w:rPr>
              <w:t>Sobre la base del análisis de carencias, establec</w:t>
            </w:r>
            <w:r w:rsidR="00987CCE">
              <w:rPr>
                <w:sz w:val="20"/>
                <w:szCs w:val="20"/>
                <w:lang w:val="es-ES"/>
              </w:rPr>
              <w:t>er</w:t>
            </w:r>
            <w:r w:rsidRPr="00D6066E">
              <w:rPr>
                <w:sz w:val="20"/>
                <w:szCs w:val="20"/>
                <w:lang w:val="es-ES"/>
              </w:rPr>
              <w:t xml:space="preserve"> una meta </w:t>
            </w:r>
            <w:r w:rsidR="00987CCE">
              <w:rPr>
                <w:sz w:val="20"/>
                <w:szCs w:val="20"/>
                <w:lang w:val="es-ES"/>
              </w:rPr>
              <w:t xml:space="preserve">con </w:t>
            </w:r>
            <w:r w:rsidRPr="00D6066E">
              <w:rPr>
                <w:sz w:val="20"/>
                <w:szCs w:val="20"/>
                <w:lang w:val="es-ES"/>
              </w:rPr>
              <w:t>respecto al número de estaciones nuevas/mejoradas y al porcentaje de informes intercambiados.</w:t>
            </w:r>
          </w:p>
        </w:tc>
        <w:tc>
          <w:tcPr>
            <w:tcW w:w="2161" w:type="dxa"/>
            <w:tcBorders>
              <w:top w:val="single" w:sz="4" w:space="0" w:color="808080"/>
              <w:left w:val="single" w:sz="4" w:space="0" w:color="808080"/>
              <w:bottom w:val="single" w:sz="4" w:space="0" w:color="808080"/>
              <w:right w:val="single" w:sz="4" w:space="0" w:color="808080"/>
            </w:tcBorders>
            <w:shd w:val="clear" w:color="auto" w:fill="auto"/>
          </w:tcPr>
          <w:p w14:paraId="3DA49592" w14:textId="77777777" w:rsidR="00712633" w:rsidRPr="00D6066E" w:rsidRDefault="00712633" w:rsidP="00C90BAB">
            <w:pPr>
              <w:keepNext/>
              <w:keepLines/>
              <w:spacing w:before="60" w:after="60"/>
              <w:rPr>
                <w:rFonts w:eastAsia="Segoe UI" w:cs="Segoe UI"/>
                <w:i/>
                <w:iCs/>
                <w:color w:val="auto"/>
                <w:sz w:val="20"/>
                <w:szCs w:val="20"/>
                <w:lang w:val="es-ES"/>
              </w:rPr>
            </w:pPr>
          </w:p>
        </w:tc>
      </w:tr>
    </w:tbl>
    <w:p w14:paraId="2E54FE6F" w14:textId="77777777" w:rsidR="00106015" w:rsidRPr="00E4666D" w:rsidRDefault="00106015" w:rsidP="00322B90">
      <w:pPr>
        <w:rPr>
          <w:rFonts w:eastAsia="Segoe UI" w:cs="Segoe UI"/>
          <w:b/>
          <w:bCs/>
          <w:color w:val="auto"/>
          <w:lang w:val="es-ES"/>
        </w:rPr>
      </w:pPr>
      <w:bookmarkStart w:id="39" w:name="_Toc107569110"/>
      <w:bookmarkStart w:id="40" w:name="_Toc713315506"/>
      <w:bookmarkStart w:id="41" w:name="_Toc1323153424"/>
      <w:bookmarkStart w:id="42" w:name="_Toc1265155489"/>
    </w:p>
    <w:p w14:paraId="0DB1B1AF" w14:textId="77777777" w:rsidR="00712633" w:rsidRPr="00E4666D" w:rsidRDefault="00712633" w:rsidP="00610DF0">
      <w:pPr>
        <w:keepNext/>
        <w:spacing w:after="240" w:line="240" w:lineRule="exact"/>
        <w:rPr>
          <w:rFonts w:eastAsia="Segoe UI" w:cs="Segoe UI"/>
          <w:b/>
          <w:bCs/>
          <w:color w:val="auto"/>
          <w:lang w:val="es-ES"/>
        </w:rPr>
      </w:pPr>
      <w:r>
        <w:rPr>
          <w:b/>
          <w:bCs/>
          <w:lang w:val="es-ES"/>
        </w:rPr>
        <w:t>Módulo 2: Desarrollo de la capacidad institucional</w:t>
      </w:r>
      <w:bookmarkEnd w:id="39"/>
      <w:bookmarkEnd w:id="40"/>
      <w:bookmarkEnd w:id="41"/>
      <w:bookmarkEnd w:id="42"/>
    </w:p>
    <w:p w14:paraId="74FA3361" w14:textId="29FE9D3B" w:rsidR="00712633" w:rsidRPr="00E4666D" w:rsidRDefault="00B76B6B" w:rsidP="00610DF0">
      <w:pPr>
        <w:spacing w:after="240" w:line="240" w:lineRule="exact"/>
        <w:rPr>
          <w:rFonts w:eastAsia="Calibri" w:cs="Segoe UI"/>
          <w:color w:val="auto"/>
          <w:lang w:val="es-ES"/>
        </w:rPr>
      </w:pPr>
      <w:r>
        <w:rPr>
          <w:lang w:val="es-ES"/>
        </w:rPr>
        <w:t>Se evalúan las capacidades institucionales de los Miembros, entre ellas las asociaciones de los SMHN con otros asociados nacionales gubernamentales y privados</w:t>
      </w:r>
      <w:r w:rsidR="00103195">
        <w:rPr>
          <w:lang w:val="es-ES"/>
        </w:rPr>
        <w:t xml:space="preserve"> y con las </w:t>
      </w:r>
      <w:r>
        <w:rPr>
          <w:lang w:val="es-ES"/>
        </w:rPr>
        <w:t xml:space="preserve">partes interesadas </w:t>
      </w:r>
      <w:r>
        <w:rPr>
          <w:lang w:val="es-ES"/>
        </w:rPr>
        <w:lastRenderedPageBreak/>
        <w:t>subregionales y regionales de la GBON, así como las capacidades financieras, con el fin de aumentar los recursos y las actividades para operar y mantener la red de observaciones.</w:t>
      </w:r>
    </w:p>
    <w:p w14:paraId="3D9201E8" w14:textId="77777777" w:rsidR="00712633" w:rsidRPr="00E4666D" w:rsidRDefault="00712633" w:rsidP="00610DF0">
      <w:pPr>
        <w:spacing w:after="240" w:line="240" w:lineRule="exact"/>
        <w:rPr>
          <w:rFonts w:eastAsia="Segoe UI" w:cs="Segoe UI"/>
          <w:color w:val="auto"/>
          <w:lang w:val="es-ES"/>
        </w:rPr>
      </w:pPr>
      <w:r>
        <w:rPr>
          <w:lang w:val="es-ES"/>
        </w:rPr>
        <w:t>Este módulo también incluye la evaluación de las estrategias existentes de los Miembros para desarrollar y mejorar las redes de observación y la evaluación de la legislación nacional en relación con las disposiciones de la GBON. Las actividades y los resultados del Módulo 2 se resumen en el cuadro 5.8.</w:t>
      </w:r>
    </w:p>
    <w:p w14:paraId="255FE9E4" w14:textId="77777777" w:rsidR="00233607" w:rsidRPr="00E4666D" w:rsidRDefault="00233607" w:rsidP="0059699A">
      <w:pPr>
        <w:spacing w:after="240" w:line="240" w:lineRule="exact"/>
        <w:jc w:val="center"/>
        <w:rPr>
          <w:b/>
          <w:bCs/>
          <w:lang w:val="es-ES"/>
        </w:rPr>
      </w:pPr>
      <w:r>
        <w:rPr>
          <w:b/>
          <w:bCs/>
          <w:lang w:val="es-ES"/>
        </w:rPr>
        <w:t>Cuadro 5.8.</w:t>
      </w:r>
      <w:r>
        <w:rPr>
          <w:lang w:val="es-ES"/>
        </w:rPr>
        <w:t xml:space="preserve"> </w:t>
      </w:r>
      <w:r>
        <w:rPr>
          <w:b/>
          <w:bCs/>
          <w:lang w:val="es-ES"/>
        </w:rPr>
        <w:t>Actividades y resultados del Módulo 2</w:t>
      </w:r>
    </w:p>
    <w:tbl>
      <w:tblPr>
        <w:tblStyle w:val="TableGrid1"/>
        <w:tblW w:w="515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A0" w:firstRow="1" w:lastRow="0" w:firstColumn="1" w:lastColumn="0" w:noHBand="1" w:noVBand="1"/>
      </w:tblPr>
      <w:tblGrid>
        <w:gridCol w:w="988"/>
        <w:gridCol w:w="2868"/>
        <w:gridCol w:w="3896"/>
        <w:gridCol w:w="2166"/>
      </w:tblGrid>
      <w:tr w:rsidR="00712633" w:rsidRPr="003530E7" w14:paraId="5644D4D7" w14:textId="77777777" w:rsidTr="00610DF0">
        <w:trPr>
          <w:trHeight w:val="654"/>
          <w:tblHeader/>
        </w:trPr>
        <w:tc>
          <w:tcPr>
            <w:tcW w:w="498" w:type="pct"/>
            <w:vMerge w:val="restart"/>
            <w:shd w:val="clear" w:color="auto" w:fill="F2F2F2" w:themeFill="background1" w:themeFillShade="F2"/>
            <w:vAlign w:val="center"/>
          </w:tcPr>
          <w:p w14:paraId="6B9C83AD" w14:textId="77777777" w:rsidR="00712633" w:rsidRPr="0020664D" w:rsidRDefault="00712633" w:rsidP="00FB7E6A">
            <w:pPr>
              <w:spacing w:before="60" w:after="60"/>
              <w:jc w:val="center"/>
              <w:rPr>
                <w:rFonts w:eastAsia="Segoe UI" w:cs="Segoe UI"/>
                <w:b/>
                <w:bCs/>
                <w:color w:val="auto"/>
                <w:sz w:val="20"/>
                <w:szCs w:val="20"/>
              </w:rPr>
            </w:pPr>
            <w:r w:rsidRPr="0020664D">
              <w:rPr>
                <w:b/>
                <w:bCs/>
                <w:sz w:val="20"/>
                <w:szCs w:val="20"/>
                <w:lang w:val="es-ES"/>
              </w:rPr>
              <w:t>Punto</w:t>
            </w:r>
          </w:p>
        </w:tc>
        <w:tc>
          <w:tcPr>
            <w:tcW w:w="1446" w:type="pct"/>
            <w:vMerge w:val="restart"/>
            <w:shd w:val="clear" w:color="auto" w:fill="F2F2F2" w:themeFill="background1" w:themeFillShade="F2"/>
            <w:vAlign w:val="center"/>
          </w:tcPr>
          <w:p w14:paraId="6E74785C" w14:textId="77777777" w:rsidR="00712633" w:rsidRPr="0020664D" w:rsidRDefault="00712633" w:rsidP="00FB7E6A">
            <w:pPr>
              <w:spacing w:before="60" w:after="60"/>
              <w:jc w:val="center"/>
              <w:rPr>
                <w:rFonts w:eastAsia="Segoe UI" w:cs="Segoe UI"/>
                <w:b/>
                <w:bCs/>
                <w:color w:val="auto"/>
                <w:sz w:val="20"/>
                <w:szCs w:val="20"/>
              </w:rPr>
            </w:pPr>
            <w:r w:rsidRPr="0020664D">
              <w:rPr>
                <w:b/>
                <w:bCs/>
                <w:sz w:val="20"/>
                <w:szCs w:val="20"/>
                <w:lang w:val="es-ES"/>
              </w:rPr>
              <w:t>Actividad</w:t>
            </w:r>
          </w:p>
        </w:tc>
        <w:tc>
          <w:tcPr>
            <w:tcW w:w="1964" w:type="pct"/>
            <w:vMerge w:val="restart"/>
            <w:shd w:val="clear" w:color="auto" w:fill="F2F2F2" w:themeFill="background1" w:themeFillShade="F2"/>
            <w:vAlign w:val="center"/>
          </w:tcPr>
          <w:p w14:paraId="289B2D16" w14:textId="42DE0793" w:rsidR="00712633" w:rsidRPr="0020664D" w:rsidRDefault="00712633" w:rsidP="00C90BAB">
            <w:pPr>
              <w:spacing w:before="60" w:after="60"/>
              <w:jc w:val="center"/>
              <w:rPr>
                <w:rFonts w:eastAsia="Segoe UI" w:cs="Segoe UI"/>
                <w:b/>
                <w:bCs/>
                <w:color w:val="auto"/>
                <w:sz w:val="20"/>
                <w:szCs w:val="20"/>
              </w:rPr>
            </w:pPr>
            <w:r w:rsidRPr="0020664D">
              <w:rPr>
                <w:b/>
                <w:bCs/>
                <w:sz w:val="20"/>
                <w:szCs w:val="20"/>
                <w:lang w:val="es-ES"/>
              </w:rPr>
              <w:t>Resultados</w:t>
            </w:r>
          </w:p>
        </w:tc>
        <w:tc>
          <w:tcPr>
            <w:tcW w:w="1092" w:type="pct"/>
            <w:vMerge w:val="restart"/>
            <w:shd w:val="clear" w:color="auto" w:fill="F2F2F2" w:themeFill="background1" w:themeFillShade="F2"/>
            <w:vAlign w:val="center"/>
          </w:tcPr>
          <w:p w14:paraId="641D61FB" w14:textId="06BF1C31" w:rsidR="00712633" w:rsidRPr="008228D1" w:rsidRDefault="00712633" w:rsidP="00FB7E6A">
            <w:pPr>
              <w:tabs>
                <w:tab w:val="right" w:pos="2052"/>
              </w:tabs>
              <w:spacing w:before="60" w:after="60"/>
              <w:jc w:val="center"/>
              <w:rPr>
                <w:rFonts w:eastAsia="Segoe UI" w:cs="Segoe UI"/>
                <w:b/>
                <w:bCs/>
                <w:color w:val="auto"/>
                <w:sz w:val="20"/>
                <w:szCs w:val="20"/>
              </w:rPr>
            </w:pPr>
            <w:r w:rsidRPr="008228D1">
              <w:rPr>
                <w:b/>
                <w:bCs/>
                <w:sz w:val="20"/>
                <w:szCs w:val="20"/>
                <w:lang w:val="es-ES"/>
              </w:rPr>
              <w:t xml:space="preserve">Material de orientación </w:t>
            </w:r>
            <w:r w:rsidR="000E2B90" w:rsidRPr="000E2B90">
              <w:rPr>
                <w:b/>
                <w:bCs/>
                <w:sz w:val="20"/>
                <w:szCs w:val="20"/>
                <w:lang w:val="es-ES"/>
              </w:rPr>
              <w:t>correspondiente</w:t>
            </w:r>
          </w:p>
        </w:tc>
      </w:tr>
      <w:tr w:rsidR="00712633" w:rsidRPr="003530E7" w14:paraId="70357FA7" w14:textId="77777777" w:rsidTr="00610DF0">
        <w:trPr>
          <w:trHeight w:val="363"/>
          <w:tblHeader/>
        </w:trPr>
        <w:tc>
          <w:tcPr>
            <w:tcW w:w="498" w:type="pct"/>
            <w:vMerge/>
            <w:shd w:val="clear" w:color="auto" w:fill="F2F2F2" w:themeFill="background1" w:themeFillShade="F2"/>
          </w:tcPr>
          <w:p w14:paraId="29A62335" w14:textId="77777777" w:rsidR="00712633" w:rsidRPr="0020664D" w:rsidRDefault="00712633" w:rsidP="00FB7E6A">
            <w:pPr>
              <w:spacing w:before="60" w:after="60"/>
              <w:rPr>
                <w:rFonts w:eastAsia="Calibri" w:cs="Segoe UI"/>
                <w:color w:val="auto"/>
                <w:sz w:val="20"/>
                <w:szCs w:val="20"/>
              </w:rPr>
            </w:pPr>
          </w:p>
        </w:tc>
        <w:tc>
          <w:tcPr>
            <w:tcW w:w="1446" w:type="pct"/>
            <w:vMerge/>
            <w:shd w:val="clear" w:color="auto" w:fill="F2F2F2" w:themeFill="background1" w:themeFillShade="F2"/>
          </w:tcPr>
          <w:p w14:paraId="65A17FB1" w14:textId="77777777" w:rsidR="00712633" w:rsidRPr="0020664D" w:rsidRDefault="00712633" w:rsidP="00FB7E6A">
            <w:pPr>
              <w:spacing w:before="60" w:after="60"/>
              <w:rPr>
                <w:rFonts w:eastAsia="Calibri" w:cs="Segoe UI"/>
                <w:color w:val="auto"/>
                <w:sz w:val="20"/>
                <w:szCs w:val="20"/>
              </w:rPr>
            </w:pPr>
          </w:p>
        </w:tc>
        <w:tc>
          <w:tcPr>
            <w:tcW w:w="1964" w:type="pct"/>
            <w:vMerge/>
            <w:shd w:val="clear" w:color="auto" w:fill="F2F2F2" w:themeFill="background1" w:themeFillShade="F2"/>
          </w:tcPr>
          <w:p w14:paraId="7FACA887" w14:textId="77777777" w:rsidR="00712633" w:rsidRPr="0020664D" w:rsidRDefault="00712633" w:rsidP="00FB7E6A">
            <w:pPr>
              <w:spacing w:before="60" w:after="60"/>
              <w:rPr>
                <w:rFonts w:eastAsia="Calibri" w:cs="Segoe UI"/>
                <w:color w:val="auto"/>
                <w:sz w:val="20"/>
                <w:szCs w:val="20"/>
              </w:rPr>
            </w:pPr>
          </w:p>
        </w:tc>
        <w:tc>
          <w:tcPr>
            <w:tcW w:w="1092" w:type="pct"/>
            <w:vMerge/>
            <w:shd w:val="clear" w:color="auto" w:fill="F2F2F2" w:themeFill="background1" w:themeFillShade="F2"/>
          </w:tcPr>
          <w:p w14:paraId="1DCA2D38" w14:textId="77777777" w:rsidR="00712633" w:rsidRPr="008228D1" w:rsidRDefault="00712633" w:rsidP="00FB7E6A">
            <w:pPr>
              <w:spacing w:before="60" w:after="60"/>
              <w:rPr>
                <w:rFonts w:eastAsia="Calibri" w:cs="Segoe UI"/>
                <w:color w:val="auto"/>
                <w:sz w:val="20"/>
                <w:szCs w:val="20"/>
              </w:rPr>
            </w:pPr>
          </w:p>
        </w:tc>
      </w:tr>
      <w:tr w:rsidR="00712633" w:rsidRPr="00AE4BEE" w14:paraId="2BDB9BE4" w14:textId="77777777" w:rsidTr="00610DF0">
        <w:tc>
          <w:tcPr>
            <w:tcW w:w="4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F6F205B" w14:textId="77777777" w:rsidR="00712633" w:rsidRPr="0020664D" w:rsidRDefault="00712633" w:rsidP="00FB7E6A">
            <w:pPr>
              <w:spacing w:before="60" w:after="60"/>
              <w:jc w:val="center"/>
              <w:rPr>
                <w:rFonts w:eastAsia="Segoe UI" w:cs="Segoe UI"/>
                <w:color w:val="auto"/>
                <w:sz w:val="20"/>
                <w:szCs w:val="20"/>
              </w:rPr>
            </w:pPr>
            <w:r w:rsidRPr="0020664D">
              <w:rPr>
                <w:sz w:val="20"/>
                <w:szCs w:val="20"/>
                <w:lang w:val="es-ES"/>
              </w:rPr>
              <w:t>2.1</w:t>
            </w:r>
          </w:p>
        </w:tc>
        <w:tc>
          <w:tcPr>
            <w:tcW w:w="1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539121B" w14:textId="77777777" w:rsidR="00712633" w:rsidRPr="0020664D" w:rsidRDefault="00712633" w:rsidP="00FB7E6A">
            <w:pPr>
              <w:spacing w:before="60" w:after="60"/>
              <w:rPr>
                <w:rFonts w:eastAsia="Segoe UI" w:cs="Segoe UI"/>
                <w:color w:val="auto"/>
                <w:sz w:val="20"/>
                <w:szCs w:val="20"/>
                <w:lang w:val="es-ES"/>
              </w:rPr>
            </w:pPr>
            <w:r w:rsidRPr="0020664D">
              <w:rPr>
                <w:sz w:val="20"/>
                <w:szCs w:val="20"/>
                <w:lang w:val="es-ES"/>
              </w:rPr>
              <w:t>Evaluación de las organizaciones gubernamentales asociadas interesadas en apoyar las operaciones de la GBON</w:t>
            </w:r>
          </w:p>
        </w:tc>
        <w:tc>
          <w:tcPr>
            <w:tcW w:w="19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97887DA" w14:textId="77777777" w:rsidR="00712633" w:rsidRPr="0020664D" w:rsidRDefault="00712633" w:rsidP="00FB7E6A">
            <w:pPr>
              <w:spacing w:before="60" w:after="60"/>
              <w:rPr>
                <w:rFonts w:eastAsia="Segoe UI" w:cs="Segoe UI"/>
                <w:color w:val="auto"/>
                <w:sz w:val="20"/>
                <w:szCs w:val="20"/>
                <w:lang w:val="es-ES"/>
              </w:rPr>
            </w:pPr>
            <w:r w:rsidRPr="0020664D">
              <w:rPr>
                <w:sz w:val="20"/>
                <w:szCs w:val="20"/>
                <w:lang w:val="es-ES"/>
              </w:rPr>
              <w:t>Evaluación de los asociados gubernamentales y las partes interesadas y su posible contribución al funcionamiento de la red GBON:</w:t>
            </w:r>
          </w:p>
          <w:p w14:paraId="10007B5B" w14:textId="77777777" w:rsidR="00712633" w:rsidRPr="0020664D" w:rsidRDefault="00712633" w:rsidP="00711762">
            <w:pPr>
              <w:numPr>
                <w:ilvl w:val="0"/>
                <w:numId w:val="43"/>
              </w:numPr>
              <w:spacing w:before="60" w:after="60"/>
              <w:rPr>
                <w:rFonts w:eastAsia="Segoe UI" w:cs="Segoe UI"/>
                <w:color w:val="auto"/>
                <w:sz w:val="20"/>
                <w:szCs w:val="20"/>
              </w:rPr>
            </w:pPr>
            <w:r w:rsidRPr="0020664D">
              <w:rPr>
                <w:sz w:val="20"/>
                <w:szCs w:val="20"/>
                <w:lang w:val="es-ES"/>
              </w:rPr>
              <w:t>Asociados y relaciones existentes;</w:t>
            </w:r>
          </w:p>
          <w:p w14:paraId="7D891EA2" w14:textId="3A0DE1C9" w:rsidR="00712633" w:rsidRPr="0020664D" w:rsidRDefault="00712633" w:rsidP="00711762">
            <w:pPr>
              <w:numPr>
                <w:ilvl w:val="0"/>
                <w:numId w:val="43"/>
              </w:numPr>
              <w:spacing w:before="60" w:after="60"/>
              <w:rPr>
                <w:rFonts w:eastAsia="Segoe UI" w:cs="Segoe UI"/>
                <w:color w:val="auto"/>
                <w:sz w:val="20"/>
                <w:szCs w:val="20"/>
                <w:lang w:val="es-ES"/>
              </w:rPr>
            </w:pPr>
            <w:r w:rsidRPr="0020664D">
              <w:rPr>
                <w:sz w:val="20"/>
                <w:szCs w:val="20"/>
                <w:lang w:val="es-ES"/>
              </w:rPr>
              <w:t>Posibles nuevos asociados y colaboradores y</w:t>
            </w:r>
            <w:r w:rsidR="007C2FE9">
              <w:rPr>
                <w:sz w:val="20"/>
                <w:szCs w:val="20"/>
                <w:lang w:val="es-ES"/>
              </w:rPr>
              <w:t xml:space="preserve"> sus</w:t>
            </w:r>
            <w:r w:rsidRPr="0020664D">
              <w:rPr>
                <w:sz w:val="20"/>
                <w:szCs w:val="20"/>
                <w:lang w:val="es-ES"/>
              </w:rPr>
              <w:t xml:space="preserve"> funciones</w:t>
            </w:r>
          </w:p>
        </w:tc>
        <w:tc>
          <w:tcPr>
            <w:tcW w:w="10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0691F1F" w14:textId="69305CC5" w:rsidR="00712633" w:rsidRPr="008228D1" w:rsidRDefault="008C2CFE" w:rsidP="00FB7E6A">
            <w:pPr>
              <w:spacing w:before="60" w:after="60"/>
              <w:rPr>
                <w:rFonts w:eastAsia="Segoe UI" w:cs="Segoe UI"/>
                <w:i/>
                <w:iCs/>
                <w:color w:val="auto"/>
                <w:sz w:val="20"/>
                <w:szCs w:val="20"/>
                <w:lang w:val="es-ES"/>
              </w:rPr>
            </w:pPr>
            <w:hyperlink r:id="rId36" w:history="1">
              <w:r w:rsidR="00D00C61" w:rsidRPr="00C13307">
                <w:rPr>
                  <w:rStyle w:val="Hyperlink"/>
                  <w:i/>
                  <w:iCs/>
                  <w:sz w:val="20"/>
                  <w:szCs w:val="20"/>
                  <w:lang w:val="es-ES"/>
                </w:rPr>
                <w:t>Guía del Sistema Mundial Integrado de Sistemas de Observación de la OMM</w:t>
              </w:r>
            </w:hyperlink>
            <w:r w:rsidR="00D00C61" w:rsidRPr="008228D1">
              <w:rPr>
                <w:i/>
                <w:iCs/>
                <w:sz w:val="20"/>
                <w:szCs w:val="20"/>
                <w:lang w:val="es-ES"/>
              </w:rPr>
              <w:t xml:space="preserve"> </w:t>
            </w:r>
            <w:r w:rsidR="00A1540E">
              <w:rPr>
                <w:i/>
                <w:iCs/>
                <w:sz w:val="20"/>
                <w:szCs w:val="20"/>
                <w:lang w:val="es-ES"/>
              </w:rPr>
              <w:br/>
            </w:r>
            <w:r w:rsidR="00D00C61" w:rsidRPr="008228D1">
              <w:rPr>
                <w:sz w:val="20"/>
                <w:szCs w:val="20"/>
                <w:lang w:val="es-ES"/>
              </w:rPr>
              <w:t>(OMM-Nº 1165), capítulo 6.</w:t>
            </w:r>
          </w:p>
        </w:tc>
      </w:tr>
      <w:tr w:rsidR="00712633" w:rsidRPr="00AE4BEE" w14:paraId="7515190D" w14:textId="77777777" w:rsidTr="00610DF0">
        <w:tc>
          <w:tcPr>
            <w:tcW w:w="4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2F83313" w14:textId="77777777" w:rsidR="00712633" w:rsidRPr="0020664D" w:rsidRDefault="00712633" w:rsidP="00FB7E6A">
            <w:pPr>
              <w:spacing w:before="60" w:after="60"/>
              <w:jc w:val="center"/>
              <w:rPr>
                <w:rFonts w:eastAsia="Segoe UI" w:cs="Segoe UI"/>
                <w:color w:val="auto"/>
                <w:sz w:val="20"/>
                <w:szCs w:val="20"/>
              </w:rPr>
            </w:pPr>
            <w:r w:rsidRPr="0020664D">
              <w:rPr>
                <w:sz w:val="20"/>
                <w:szCs w:val="20"/>
                <w:lang w:val="es-ES"/>
              </w:rPr>
              <w:t>2.2</w:t>
            </w:r>
          </w:p>
        </w:tc>
        <w:tc>
          <w:tcPr>
            <w:tcW w:w="1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6CC310D" w14:textId="77777777" w:rsidR="00712633" w:rsidRPr="0020664D" w:rsidRDefault="00712633" w:rsidP="00FB7E6A">
            <w:pPr>
              <w:spacing w:before="60" w:after="60"/>
              <w:rPr>
                <w:rFonts w:eastAsia="Segoe UI" w:cs="Segoe UI"/>
                <w:color w:val="auto"/>
                <w:sz w:val="20"/>
                <w:szCs w:val="20"/>
                <w:lang w:val="es-ES"/>
              </w:rPr>
            </w:pPr>
            <w:r w:rsidRPr="0020664D">
              <w:rPr>
                <w:sz w:val="20"/>
                <w:szCs w:val="20"/>
                <w:lang w:val="es-ES"/>
              </w:rPr>
              <w:t>Evaluación de las entidades del sector privado que proporcionan observaciones meteorológicas en el país y de las posibles asociaciones interesadas en apoyar las operaciones de la GBON</w:t>
            </w:r>
          </w:p>
        </w:tc>
        <w:tc>
          <w:tcPr>
            <w:tcW w:w="19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2828EB3" w14:textId="77777777" w:rsidR="00712633" w:rsidRPr="0020664D" w:rsidRDefault="00712633" w:rsidP="00FB7E6A">
            <w:pPr>
              <w:numPr>
                <w:ilvl w:val="0"/>
                <w:numId w:val="14"/>
              </w:numPr>
              <w:spacing w:before="60" w:after="60"/>
              <w:rPr>
                <w:rFonts w:eastAsia="Segoe UI" w:cs="Segoe UI"/>
                <w:color w:val="auto"/>
                <w:sz w:val="20"/>
                <w:szCs w:val="20"/>
                <w:lang w:val="es-ES"/>
              </w:rPr>
            </w:pPr>
            <w:r w:rsidRPr="0020664D">
              <w:rPr>
                <w:sz w:val="20"/>
                <w:szCs w:val="20"/>
                <w:lang w:val="es-ES"/>
              </w:rPr>
              <w:t>Operadores del sector privado que prestan servicios de observación y datos meteorológicos en el país</w:t>
            </w:r>
          </w:p>
          <w:p w14:paraId="65A92DBC" w14:textId="77777777" w:rsidR="00712633" w:rsidRPr="0020664D" w:rsidRDefault="00712633" w:rsidP="00FB7E6A">
            <w:pPr>
              <w:numPr>
                <w:ilvl w:val="0"/>
                <w:numId w:val="14"/>
              </w:numPr>
              <w:spacing w:before="60" w:after="60"/>
              <w:rPr>
                <w:rFonts w:eastAsia="Segoe UI" w:cs="Segoe UI"/>
                <w:color w:val="auto"/>
                <w:sz w:val="20"/>
                <w:szCs w:val="20"/>
                <w:lang w:val="es-ES"/>
              </w:rPr>
            </w:pPr>
            <w:r w:rsidRPr="0020664D">
              <w:rPr>
                <w:sz w:val="20"/>
                <w:szCs w:val="20"/>
                <w:lang w:val="es-ES"/>
              </w:rPr>
              <w:t>Modelo de negocio basado en la colaboración público-privada para la aplicación del plan, con inclusión de los posibles operadores del sector privado identificados para dicha colaboración</w:t>
            </w:r>
          </w:p>
        </w:tc>
        <w:tc>
          <w:tcPr>
            <w:tcW w:w="10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64C74CB" w14:textId="5B7715A3" w:rsidR="00712633" w:rsidRPr="008228D1" w:rsidRDefault="008C2CFE" w:rsidP="00FB7E6A">
            <w:pPr>
              <w:spacing w:before="60" w:after="60"/>
              <w:rPr>
                <w:rFonts w:eastAsia="Segoe UI" w:cs="Segoe UI"/>
                <w:color w:val="auto"/>
                <w:sz w:val="20"/>
                <w:szCs w:val="20"/>
                <w:lang w:val="es-ES"/>
              </w:rPr>
            </w:pPr>
            <w:hyperlink r:id="rId37" w:history="1">
              <w:r w:rsidR="00D00C61" w:rsidRPr="00C13307">
                <w:rPr>
                  <w:rStyle w:val="Hyperlink"/>
                  <w:i/>
                  <w:iCs/>
                  <w:sz w:val="20"/>
                  <w:szCs w:val="20"/>
                  <w:lang w:val="es-ES"/>
                </w:rPr>
                <w:t>Directrices para la colaboración entre los s</w:t>
              </w:r>
              <w:r w:rsidR="00D00C61" w:rsidRPr="00C13307">
                <w:rPr>
                  <w:rStyle w:val="Hyperlink"/>
                  <w:i/>
                  <w:iCs/>
                  <w:sz w:val="20"/>
                  <w:szCs w:val="20"/>
                  <w:lang w:val="es-ES"/>
                </w:rPr>
                <w:t>e</w:t>
              </w:r>
              <w:r w:rsidR="00D00C61" w:rsidRPr="00C13307">
                <w:rPr>
                  <w:rStyle w:val="Hyperlink"/>
                  <w:i/>
                  <w:iCs/>
                  <w:sz w:val="20"/>
                  <w:szCs w:val="20"/>
                  <w:lang w:val="es-ES"/>
                </w:rPr>
                <w:t>ctores público y privado</w:t>
              </w:r>
            </w:hyperlink>
            <w:r w:rsidR="00D00C61" w:rsidRPr="008228D1">
              <w:rPr>
                <w:sz w:val="20"/>
                <w:szCs w:val="20"/>
                <w:lang w:val="es-ES"/>
              </w:rPr>
              <w:t xml:space="preserve"> (OMM-Nº 1258)</w:t>
            </w:r>
          </w:p>
          <w:p w14:paraId="5E296503" w14:textId="77777777" w:rsidR="00712633" w:rsidRPr="008228D1" w:rsidRDefault="00712633" w:rsidP="00FB7E6A">
            <w:pPr>
              <w:spacing w:before="60" w:after="60"/>
              <w:rPr>
                <w:rFonts w:eastAsia="Segoe UI" w:cs="Segoe UI"/>
                <w:color w:val="auto"/>
                <w:sz w:val="20"/>
                <w:szCs w:val="20"/>
                <w:lang w:val="es-ES"/>
              </w:rPr>
            </w:pPr>
          </w:p>
        </w:tc>
      </w:tr>
      <w:tr w:rsidR="00712633" w:rsidRPr="00AE4BEE" w14:paraId="492EEC67" w14:textId="77777777" w:rsidTr="00610DF0">
        <w:tc>
          <w:tcPr>
            <w:tcW w:w="4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56EF651" w14:textId="77777777" w:rsidR="00712633" w:rsidRPr="0020664D" w:rsidRDefault="00712633" w:rsidP="00FB7E6A">
            <w:pPr>
              <w:spacing w:before="60" w:after="60"/>
              <w:jc w:val="center"/>
              <w:rPr>
                <w:rFonts w:eastAsia="Segoe UI" w:cs="Segoe UI"/>
                <w:color w:val="auto"/>
                <w:sz w:val="20"/>
                <w:szCs w:val="20"/>
              </w:rPr>
            </w:pPr>
            <w:r w:rsidRPr="0020664D">
              <w:rPr>
                <w:sz w:val="20"/>
                <w:szCs w:val="20"/>
                <w:lang w:val="es-ES"/>
              </w:rPr>
              <w:t>2.3</w:t>
            </w:r>
          </w:p>
        </w:tc>
        <w:tc>
          <w:tcPr>
            <w:tcW w:w="1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CEC5F29" w14:textId="40AACDC7" w:rsidR="00712633" w:rsidRPr="0020664D" w:rsidRDefault="00712633" w:rsidP="00FB7E6A">
            <w:pPr>
              <w:spacing w:before="60" w:after="60"/>
              <w:rPr>
                <w:rFonts w:eastAsia="Segoe UI" w:cs="Segoe UI"/>
                <w:color w:val="auto"/>
                <w:sz w:val="20"/>
                <w:szCs w:val="20"/>
                <w:lang w:val="es-ES"/>
              </w:rPr>
            </w:pPr>
            <w:r w:rsidRPr="0020664D">
              <w:rPr>
                <w:sz w:val="20"/>
                <w:szCs w:val="20"/>
                <w:lang w:val="es-ES"/>
              </w:rPr>
              <w:t>Evaluación de los posibles contribuyentes a nivel subregional interesados en apoyar las operaciones de la GBON</w:t>
            </w:r>
          </w:p>
        </w:tc>
        <w:tc>
          <w:tcPr>
            <w:tcW w:w="19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30B8AA7" w14:textId="77777777" w:rsidR="00712633" w:rsidRPr="0020664D" w:rsidRDefault="00712633" w:rsidP="00FB7E6A">
            <w:pPr>
              <w:numPr>
                <w:ilvl w:val="0"/>
                <w:numId w:val="8"/>
              </w:numPr>
              <w:spacing w:before="60" w:after="60"/>
              <w:rPr>
                <w:rFonts w:eastAsia="Segoe UI" w:cs="Segoe UI"/>
                <w:color w:val="auto"/>
                <w:sz w:val="20"/>
                <w:szCs w:val="20"/>
                <w:lang w:val="es-ES"/>
              </w:rPr>
            </w:pPr>
            <w:r w:rsidRPr="0020664D">
              <w:rPr>
                <w:sz w:val="20"/>
                <w:szCs w:val="20"/>
                <w:lang w:val="es-ES"/>
              </w:rPr>
              <w:t>Identificación de países limítrofes y organizaciones regionales de interés para una posible colaboración subregional</w:t>
            </w:r>
          </w:p>
          <w:p w14:paraId="0CD2EB95" w14:textId="77777777" w:rsidR="00712633" w:rsidRPr="0020664D" w:rsidRDefault="00712633" w:rsidP="00FB7E6A">
            <w:pPr>
              <w:numPr>
                <w:ilvl w:val="0"/>
                <w:numId w:val="8"/>
              </w:numPr>
              <w:spacing w:before="60" w:after="60"/>
              <w:rPr>
                <w:rFonts w:eastAsia="Segoe UI" w:cs="Segoe UI"/>
                <w:color w:val="auto"/>
                <w:sz w:val="20"/>
                <w:szCs w:val="20"/>
                <w:lang w:val="es-ES"/>
              </w:rPr>
            </w:pPr>
            <w:r w:rsidRPr="0020664D">
              <w:rPr>
                <w:sz w:val="20"/>
                <w:szCs w:val="20"/>
                <w:lang w:val="es-ES"/>
              </w:rPr>
              <w:t xml:space="preserve">Planificación de la posible optimización de la red de observaciones mediante el diseño de redes subregionales y otros acuerdos destinados a optimizar la aplicación del plan </w:t>
            </w:r>
          </w:p>
        </w:tc>
        <w:tc>
          <w:tcPr>
            <w:tcW w:w="10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2A46E7A" w14:textId="77777777" w:rsidR="00712633" w:rsidRPr="008228D1" w:rsidRDefault="00712633" w:rsidP="00FB7E6A">
            <w:pPr>
              <w:spacing w:before="60" w:after="60"/>
              <w:rPr>
                <w:rFonts w:eastAsia="Segoe UI" w:cs="Segoe UI"/>
                <w:color w:val="auto"/>
                <w:sz w:val="20"/>
                <w:szCs w:val="20"/>
                <w:lang w:val="es-ES"/>
              </w:rPr>
            </w:pPr>
          </w:p>
        </w:tc>
      </w:tr>
      <w:tr w:rsidR="00712633" w:rsidRPr="00AE4BEE" w14:paraId="7A605446" w14:textId="77777777" w:rsidTr="00610DF0">
        <w:tc>
          <w:tcPr>
            <w:tcW w:w="4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82FFA18" w14:textId="77777777" w:rsidR="00712633" w:rsidRPr="0020664D" w:rsidRDefault="00712633" w:rsidP="00FB7E6A">
            <w:pPr>
              <w:spacing w:before="60" w:after="60"/>
              <w:jc w:val="center"/>
              <w:rPr>
                <w:rFonts w:eastAsia="Segoe UI" w:cs="Segoe UI"/>
                <w:color w:val="auto"/>
                <w:sz w:val="20"/>
                <w:szCs w:val="20"/>
              </w:rPr>
            </w:pPr>
            <w:r w:rsidRPr="0020664D">
              <w:rPr>
                <w:sz w:val="20"/>
                <w:szCs w:val="20"/>
                <w:lang w:val="es-ES"/>
              </w:rPr>
              <w:t>2.4</w:t>
            </w:r>
          </w:p>
        </w:tc>
        <w:tc>
          <w:tcPr>
            <w:tcW w:w="1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39A39EB" w14:textId="77777777" w:rsidR="00712633" w:rsidRPr="0020664D" w:rsidRDefault="00712633" w:rsidP="00FB7E6A">
            <w:pPr>
              <w:spacing w:before="60" w:after="60"/>
              <w:rPr>
                <w:rFonts w:eastAsia="Segoe UI" w:cs="Segoe UI"/>
                <w:color w:val="auto"/>
                <w:sz w:val="20"/>
                <w:szCs w:val="20"/>
                <w:lang w:val="es-ES"/>
              </w:rPr>
            </w:pPr>
            <w:r w:rsidRPr="0020664D">
              <w:rPr>
                <w:sz w:val="20"/>
                <w:szCs w:val="20"/>
                <w:lang w:val="es-ES"/>
              </w:rPr>
              <w:t>Evaluación del modelo financiero de los Miembros</w:t>
            </w:r>
          </w:p>
        </w:tc>
        <w:tc>
          <w:tcPr>
            <w:tcW w:w="19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EACC5FC" w14:textId="77777777" w:rsidR="00712633" w:rsidRPr="0020664D" w:rsidRDefault="00712633" w:rsidP="00FB7E6A">
            <w:pPr>
              <w:numPr>
                <w:ilvl w:val="0"/>
                <w:numId w:val="18"/>
              </w:numPr>
              <w:spacing w:before="60" w:after="60"/>
              <w:ind w:hanging="357"/>
              <w:rPr>
                <w:rFonts w:eastAsia="Segoe UI" w:cs="Segoe UI"/>
                <w:color w:val="auto"/>
                <w:sz w:val="20"/>
                <w:szCs w:val="20"/>
                <w:lang w:val="es-ES"/>
              </w:rPr>
            </w:pPr>
            <w:r w:rsidRPr="0020664D">
              <w:rPr>
                <w:sz w:val="20"/>
                <w:szCs w:val="20"/>
                <w:lang w:val="es-ES"/>
              </w:rPr>
              <w:t>Fuentes de financiación actuales, asignaciones presupuestarias y situación financiera en relación con las operaciones de la infraestructura nacional de observaciones</w:t>
            </w:r>
          </w:p>
          <w:p w14:paraId="253437AE" w14:textId="77777777" w:rsidR="00712633" w:rsidRPr="0020664D" w:rsidRDefault="00712633" w:rsidP="00FB7E6A">
            <w:pPr>
              <w:numPr>
                <w:ilvl w:val="0"/>
                <w:numId w:val="18"/>
              </w:numPr>
              <w:spacing w:before="60" w:after="60"/>
              <w:ind w:hanging="357"/>
              <w:rPr>
                <w:rFonts w:eastAsia="Segoe UI" w:cs="Segoe UI"/>
                <w:color w:val="auto"/>
                <w:sz w:val="20"/>
                <w:szCs w:val="20"/>
                <w:lang w:val="es-ES"/>
              </w:rPr>
            </w:pPr>
            <w:r w:rsidRPr="0020664D">
              <w:rPr>
                <w:sz w:val="20"/>
                <w:szCs w:val="20"/>
                <w:lang w:val="es-ES"/>
              </w:rPr>
              <w:t>Elaboración de un plan de gestión financiera sostenible para operar la infraestructura de la GBON de acuerdo con el modelo de negocio público-privado propuesto en forma de:</w:t>
            </w:r>
          </w:p>
          <w:p w14:paraId="5F48CD99" w14:textId="77777777" w:rsidR="00712633" w:rsidRPr="0020664D" w:rsidRDefault="00712633" w:rsidP="00FB7E6A">
            <w:pPr>
              <w:numPr>
                <w:ilvl w:val="0"/>
                <w:numId w:val="22"/>
              </w:numPr>
              <w:spacing w:before="60" w:after="60"/>
              <w:ind w:hanging="357"/>
              <w:rPr>
                <w:rFonts w:eastAsia="Segoe UI" w:cs="Segoe UI"/>
                <w:color w:val="auto"/>
                <w:sz w:val="20"/>
                <w:szCs w:val="20"/>
                <w:lang w:val="es-ES"/>
              </w:rPr>
            </w:pPr>
            <w:r w:rsidRPr="0020664D">
              <w:rPr>
                <w:sz w:val="20"/>
                <w:szCs w:val="20"/>
                <w:lang w:val="es-ES"/>
              </w:rPr>
              <w:t>Plan financiero de operaciones de la infraestructura modernizada</w:t>
            </w:r>
          </w:p>
          <w:p w14:paraId="07045A0D" w14:textId="5A2F5744" w:rsidR="00712633" w:rsidRPr="0020664D" w:rsidRDefault="00712633" w:rsidP="00FB7E6A">
            <w:pPr>
              <w:numPr>
                <w:ilvl w:val="0"/>
                <w:numId w:val="22"/>
              </w:numPr>
              <w:spacing w:before="60" w:after="60"/>
              <w:ind w:hanging="357"/>
              <w:rPr>
                <w:rFonts w:eastAsia="Segoe UI" w:cs="Segoe UI"/>
                <w:color w:val="auto"/>
                <w:sz w:val="20"/>
                <w:szCs w:val="20"/>
                <w:lang w:val="es-ES"/>
              </w:rPr>
            </w:pPr>
            <w:r w:rsidRPr="0020664D">
              <w:rPr>
                <w:sz w:val="20"/>
                <w:szCs w:val="20"/>
                <w:lang w:val="es-ES"/>
              </w:rPr>
              <w:t xml:space="preserve">Plan </w:t>
            </w:r>
            <w:r w:rsidR="008B0B48">
              <w:rPr>
                <w:sz w:val="20"/>
                <w:szCs w:val="20"/>
                <w:lang w:val="es-ES"/>
              </w:rPr>
              <w:t xml:space="preserve">de </w:t>
            </w:r>
            <w:r w:rsidRPr="0020664D">
              <w:rPr>
                <w:sz w:val="20"/>
                <w:szCs w:val="20"/>
                <w:lang w:val="es-ES"/>
              </w:rPr>
              <w:t xml:space="preserve">actividades de 5 a 10 años destinado a aumentar la financiación de las operaciones de la red GBON </w:t>
            </w:r>
          </w:p>
        </w:tc>
        <w:tc>
          <w:tcPr>
            <w:tcW w:w="10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CFF54AD" w14:textId="77777777" w:rsidR="00712633" w:rsidRPr="008228D1" w:rsidRDefault="00712633" w:rsidP="00FB7E6A">
            <w:pPr>
              <w:spacing w:before="60" w:after="60"/>
              <w:rPr>
                <w:rFonts w:eastAsia="Segoe UI" w:cs="Segoe UI"/>
                <w:color w:val="auto"/>
                <w:sz w:val="20"/>
                <w:szCs w:val="20"/>
                <w:lang w:val="es-ES"/>
              </w:rPr>
            </w:pPr>
          </w:p>
        </w:tc>
      </w:tr>
      <w:tr w:rsidR="00712633" w:rsidRPr="00AE4BEE" w14:paraId="3B8599D0" w14:textId="77777777" w:rsidTr="00610DF0">
        <w:tc>
          <w:tcPr>
            <w:tcW w:w="4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C8E030E" w14:textId="77777777" w:rsidR="00712633" w:rsidRPr="0020664D" w:rsidRDefault="00712633" w:rsidP="00D4732D">
            <w:pPr>
              <w:keepNext/>
              <w:keepLines/>
              <w:spacing w:before="60" w:after="60"/>
              <w:jc w:val="center"/>
              <w:rPr>
                <w:rFonts w:eastAsia="Segoe UI" w:cs="Segoe UI"/>
                <w:color w:val="auto"/>
                <w:sz w:val="20"/>
                <w:szCs w:val="20"/>
              </w:rPr>
            </w:pPr>
            <w:r w:rsidRPr="0020664D">
              <w:rPr>
                <w:sz w:val="20"/>
                <w:szCs w:val="20"/>
                <w:lang w:val="es-ES"/>
              </w:rPr>
              <w:t>2.5</w:t>
            </w:r>
          </w:p>
        </w:tc>
        <w:tc>
          <w:tcPr>
            <w:tcW w:w="1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F181337" w14:textId="77777777" w:rsidR="00712633" w:rsidRPr="0020664D" w:rsidRDefault="00712633" w:rsidP="00D4732D">
            <w:pPr>
              <w:keepNext/>
              <w:keepLines/>
              <w:spacing w:before="60" w:after="60"/>
              <w:rPr>
                <w:rFonts w:eastAsia="Segoe UI" w:cs="Segoe UI"/>
                <w:color w:val="auto"/>
                <w:sz w:val="20"/>
                <w:szCs w:val="20"/>
                <w:lang w:val="es-ES"/>
              </w:rPr>
            </w:pPr>
            <w:r w:rsidRPr="0020664D">
              <w:rPr>
                <w:sz w:val="20"/>
                <w:szCs w:val="20"/>
                <w:lang w:val="es-ES"/>
              </w:rPr>
              <w:t>Evaluación de las estrategias y proyectos nacionales existentes destinados a desarrollar y mejorar las redes de observación</w:t>
            </w:r>
          </w:p>
        </w:tc>
        <w:tc>
          <w:tcPr>
            <w:tcW w:w="19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9A60ABB" w14:textId="77777777" w:rsidR="00712633" w:rsidRPr="0020664D" w:rsidRDefault="00712633" w:rsidP="00D4732D">
            <w:pPr>
              <w:keepNext/>
              <w:keepLines/>
              <w:numPr>
                <w:ilvl w:val="0"/>
                <w:numId w:val="9"/>
              </w:numPr>
              <w:spacing w:before="60" w:after="60"/>
              <w:ind w:hanging="357"/>
              <w:rPr>
                <w:rFonts w:eastAsia="Segoe UI" w:cs="Segoe UI"/>
                <w:color w:val="auto"/>
                <w:sz w:val="20"/>
                <w:szCs w:val="20"/>
                <w:lang w:val="es-ES"/>
              </w:rPr>
            </w:pPr>
            <w:r w:rsidRPr="0020664D">
              <w:rPr>
                <w:sz w:val="20"/>
                <w:szCs w:val="20"/>
                <w:lang w:val="es-ES"/>
              </w:rPr>
              <w:t>Revisión de las estrategias nacionales de desarrollo y mejora de las redes de observación</w:t>
            </w:r>
          </w:p>
          <w:p w14:paraId="21F69B66" w14:textId="77777777" w:rsidR="00712633" w:rsidRPr="0020664D" w:rsidRDefault="00712633" w:rsidP="00D4732D">
            <w:pPr>
              <w:keepNext/>
              <w:keepLines/>
              <w:numPr>
                <w:ilvl w:val="0"/>
                <w:numId w:val="9"/>
              </w:numPr>
              <w:spacing w:before="60" w:after="60"/>
              <w:ind w:hanging="357"/>
              <w:rPr>
                <w:rFonts w:eastAsia="Segoe UI" w:cs="Segoe UI"/>
                <w:color w:val="auto"/>
                <w:sz w:val="20"/>
                <w:szCs w:val="20"/>
                <w:lang w:val="es-ES"/>
              </w:rPr>
            </w:pPr>
            <w:r w:rsidRPr="0020664D">
              <w:rPr>
                <w:sz w:val="20"/>
                <w:szCs w:val="20"/>
                <w:lang w:val="es-ES"/>
              </w:rPr>
              <w:t>Plan de armonización de las actividades definidas en la estrategia general de los servicios de observación de los Miembros en relación con este plan</w:t>
            </w:r>
          </w:p>
          <w:p w14:paraId="0CB46E60" w14:textId="77777777" w:rsidR="00712633" w:rsidRPr="0020664D" w:rsidRDefault="00712633" w:rsidP="00D4732D">
            <w:pPr>
              <w:keepNext/>
              <w:keepLines/>
              <w:numPr>
                <w:ilvl w:val="0"/>
                <w:numId w:val="9"/>
              </w:numPr>
              <w:spacing w:before="60" w:after="60"/>
              <w:ind w:hanging="357"/>
              <w:rPr>
                <w:rFonts w:eastAsia="Segoe UI" w:cs="Segoe UI"/>
                <w:color w:val="auto"/>
                <w:sz w:val="20"/>
                <w:szCs w:val="20"/>
                <w:lang w:val="es-ES"/>
              </w:rPr>
            </w:pPr>
            <w:r w:rsidRPr="0020664D">
              <w:rPr>
                <w:sz w:val="20"/>
                <w:szCs w:val="20"/>
                <w:lang w:val="es-ES"/>
              </w:rPr>
              <w:t>Revisión de los proyectos de desarrollo hidrometeorológico existentes o previstos relacionados con la GBON y examen de medidas para evitar el solapamiento de actividades</w:t>
            </w:r>
          </w:p>
        </w:tc>
        <w:tc>
          <w:tcPr>
            <w:tcW w:w="10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0FB15F2" w14:textId="77777777" w:rsidR="00712633" w:rsidRPr="008228D1" w:rsidRDefault="00712633" w:rsidP="00D4732D">
            <w:pPr>
              <w:keepNext/>
              <w:keepLines/>
              <w:spacing w:before="60" w:after="60"/>
              <w:rPr>
                <w:rFonts w:eastAsia="Segoe UI" w:cs="Segoe UI"/>
                <w:color w:val="auto"/>
                <w:sz w:val="20"/>
                <w:szCs w:val="20"/>
                <w:lang w:val="es-ES"/>
              </w:rPr>
            </w:pPr>
          </w:p>
        </w:tc>
      </w:tr>
      <w:tr w:rsidR="00712633" w:rsidRPr="00AE4BEE" w14:paraId="033A1B94" w14:textId="77777777" w:rsidTr="00610DF0">
        <w:tc>
          <w:tcPr>
            <w:tcW w:w="4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F6AA38C" w14:textId="77777777" w:rsidR="00712633" w:rsidRPr="0020664D" w:rsidRDefault="00712633" w:rsidP="00FB7E6A">
            <w:pPr>
              <w:spacing w:before="60" w:after="60"/>
              <w:jc w:val="center"/>
              <w:rPr>
                <w:rFonts w:eastAsia="Segoe UI" w:cs="Segoe UI"/>
                <w:color w:val="auto"/>
                <w:sz w:val="20"/>
                <w:szCs w:val="20"/>
              </w:rPr>
            </w:pPr>
            <w:r w:rsidRPr="0020664D">
              <w:rPr>
                <w:sz w:val="20"/>
                <w:szCs w:val="20"/>
                <w:lang w:val="es-ES"/>
              </w:rPr>
              <w:t>2.6</w:t>
            </w:r>
          </w:p>
        </w:tc>
        <w:tc>
          <w:tcPr>
            <w:tcW w:w="14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910EEC8" w14:textId="55619565" w:rsidR="00712633" w:rsidRPr="0020664D" w:rsidRDefault="00712633" w:rsidP="00FB7E6A">
            <w:pPr>
              <w:spacing w:before="60" w:after="60"/>
              <w:rPr>
                <w:rFonts w:eastAsia="Segoe UI" w:cs="Segoe UI"/>
                <w:color w:val="auto"/>
                <w:sz w:val="20"/>
                <w:szCs w:val="20"/>
                <w:lang w:val="es-ES"/>
              </w:rPr>
            </w:pPr>
            <w:r w:rsidRPr="0020664D">
              <w:rPr>
                <w:sz w:val="20"/>
                <w:szCs w:val="20"/>
                <w:lang w:val="es-ES"/>
              </w:rPr>
              <w:t xml:space="preserve">Revisión de la legislación nacional </w:t>
            </w:r>
            <w:r w:rsidR="008F33C0" w:rsidRPr="008F33C0">
              <w:rPr>
                <w:sz w:val="20"/>
                <w:szCs w:val="20"/>
                <w:lang w:val="es-ES"/>
              </w:rPr>
              <w:t xml:space="preserve">en relación con </w:t>
            </w:r>
            <w:r w:rsidRPr="0020664D">
              <w:rPr>
                <w:sz w:val="20"/>
                <w:szCs w:val="20"/>
                <w:lang w:val="es-ES"/>
              </w:rPr>
              <w:t xml:space="preserve">las disposiciones de la GBON </w:t>
            </w:r>
          </w:p>
        </w:tc>
        <w:tc>
          <w:tcPr>
            <w:tcW w:w="19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9A5159E" w14:textId="77777777" w:rsidR="00712633" w:rsidRPr="0020664D" w:rsidRDefault="00712633" w:rsidP="00FB7E6A">
            <w:pPr>
              <w:pStyle w:val="ListParagraph"/>
              <w:numPr>
                <w:ilvl w:val="0"/>
                <w:numId w:val="20"/>
              </w:numPr>
              <w:spacing w:before="60" w:after="60" w:line="240" w:lineRule="auto"/>
              <w:rPr>
                <w:rFonts w:ascii="Verdana" w:eastAsia="Segoe UI" w:hAnsi="Verdana" w:cs="Segoe UI"/>
                <w:color w:val="auto"/>
                <w:sz w:val="20"/>
                <w:szCs w:val="20"/>
                <w:lang w:val="es-ES"/>
              </w:rPr>
            </w:pPr>
            <w:r w:rsidRPr="0020664D">
              <w:rPr>
                <w:rFonts w:ascii="Verdana" w:hAnsi="Verdana"/>
                <w:sz w:val="20"/>
                <w:szCs w:val="20"/>
                <w:lang w:val="es-ES"/>
              </w:rPr>
              <w:t>Revisión de la legislación en lo relativo a la responsabilidad nacional de efectuar mediciones y proporcionar observaciones meteorológicas relacionadas con la GBON</w:t>
            </w:r>
          </w:p>
          <w:p w14:paraId="7D3B399E" w14:textId="77777777" w:rsidR="00712633" w:rsidRPr="0020664D" w:rsidRDefault="00712633" w:rsidP="00FB7E6A">
            <w:pPr>
              <w:pStyle w:val="ListParagraph"/>
              <w:numPr>
                <w:ilvl w:val="0"/>
                <w:numId w:val="20"/>
              </w:numPr>
              <w:spacing w:before="60" w:after="60" w:line="240" w:lineRule="auto"/>
              <w:rPr>
                <w:rFonts w:ascii="Verdana" w:eastAsia="Segoe UI" w:hAnsi="Verdana" w:cs="Segoe UI"/>
                <w:color w:val="auto"/>
                <w:sz w:val="20"/>
                <w:szCs w:val="20"/>
                <w:lang w:val="es-ES"/>
              </w:rPr>
            </w:pPr>
            <w:r w:rsidRPr="0020664D">
              <w:rPr>
                <w:rFonts w:ascii="Verdana" w:hAnsi="Verdana"/>
                <w:sz w:val="20"/>
                <w:szCs w:val="20"/>
                <w:lang w:val="es-ES"/>
              </w:rPr>
              <w:t>Revisión de la legislación relativa a los procesos de adquisición, importación y aduanas para que el plan pueda aplicarse sin trabas</w:t>
            </w:r>
          </w:p>
          <w:p w14:paraId="641E5FD4" w14:textId="77777777" w:rsidR="00712633" w:rsidRPr="0020664D" w:rsidRDefault="00712633" w:rsidP="00FB7E6A">
            <w:pPr>
              <w:pStyle w:val="ListParagraph"/>
              <w:numPr>
                <w:ilvl w:val="0"/>
                <w:numId w:val="20"/>
              </w:numPr>
              <w:spacing w:before="60" w:after="60" w:line="240" w:lineRule="auto"/>
              <w:ind w:left="357" w:hanging="357"/>
              <w:rPr>
                <w:rFonts w:ascii="Verdana" w:eastAsia="Segoe UI" w:hAnsi="Verdana" w:cs="Segoe UI"/>
                <w:color w:val="auto"/>
                <w:sz w:val="20"/>
                <w:szCs w:val="20"/>
                <w:lang w:val="es-ES"/>
              </w:rPr>
            </w:pPr>
            <w:r w:rsidRPr="0020664D">
              <w:rPr>
                <w:rFonts w:ascii="Verdana" w:hAnsi="Verdana"/>
                <w:sz w:val="20"/>
                <w:szCs w:val="20"/>
                <w:lang w:val="es-ES"/>
              </w:rPr>
              <w:t>Recomendación sobre la forma de abordar cualquier restricción impuesta por la legislación nacional que sea necesaria para implementar la GBON</w:t>
            </w:r>
          </w:p>
        </w:tc>
        <w:tc>
          <w:tcPr>
            <w:tcW w:w="10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C4F248C" w14:textId="77777777" w:rsidR="00712633" w:rsidRPr="00E4666D" w:rsidRDefault="00712633" w:rsidP="00FB7E6A">
            <w:pPr>
              <w:spacing w:before="60" w:after="60"/>
              <w:rPr>
                <w:rFonts w:eastAsia="Segoe UI" w:cs="Segoe UI"/>
                <w:color w:val="auto"/>
                <w:sz w:val="20"/>
                <w:szCs w:val="20"/>
                <w:lang w:val="es-ES"/>
              </w:rPr>
            </w:pPr>
          </w:p>
        </w:tc>
      </w:tr>
    </w:tbl>
    <w:p w14:paraId="386E03EC" w14:textId="77777777" w:rsidR="00712633" w:rsidRPr="00E4666D" w:rsidRDefault="00712633" w:rsidP="002D6853">
      <w:pPr>
        <w:spacing w:before="360" w:after="240"/>
        <w:jc w:val="both"/>
        <w:rPr>
          <w:rFonts w:eastAsia="Segoe UI" w:cs="Segoe UI"/>
          <w:b/>
          <w:bCs/>
          <w:color w:val="auto"/>
          <w:lang w:val="es-ES"/>
        </w:rPr>
      </w:pPr>
      <w:bookmarkStart w:id="43" w:name="_Toc107569111"/>
      <w:bookmarkStart w:id="44" w:name="_Toc806142479"/>
      <w:bookmarkStart w:id="45" w:name="_Toc690157181"/>
      <w:bookmarkStart w:id="46" w:name="_Toc423750371"/>
      <w:r>
        <w:rPr>
          <w:b/>
          <w:bCs/>
          <w:lang w:val="es-ES"/>
        </w:rPr>
        <w:t>Módulo 3: Desarrollo de infraestructuras</w:t>
      </w:r>
      <w:bookmarkEnd w:id="43"/>
      <w:bookmarkEnd w:id="44"/>
      <w:bookmarkEnd w:id="45"/>
      <w:bookmarkEnd w:id="46"/>
    </w:p>
    <w:p w14:paraId="6F99438E" w14:textId="77777777" w:rsidR="00712633" w:rsidRPr="00E4666D" w:rsidRDefault="00B76B6B" w:rsidP="00A1540E">
      <w:pPr>
        <w:spacing w:after="240" w:line="240" w:lineRule="exact"/>
        <w:rPr>
          <w:rFonts w:eastAsia="Segoe UI" w:cs="Segoe UI"/>
          <w:color w:val="auto"/>
          <w:lang w:val="es-ES"/>
        </w:rPr>
      </w:pPr>
      <w:r>
        <w:rPr>
          <w:lang w:val="es-ES"/>
        </w:rPr>
        <w:t>Sobre la base de las carencias identificadas en el análisis de carencias de la GBON a nivel nacional, el Miembro elabora un plan detallado sobre todos los componentes de la infraestructura de observación y las inversiones necesarias para alcanzar la meta nacional destinada al cumplimiento de la GBON. El plan debe ajustarse a la estrategia nacional de desarrollo y gestión de las redes de observación, de modo que los componentes de la infraestructura modernizada y las prácticas de ejecución se adapten a la red existente.</w:t>
      </w:r>
    </w:p>
    <w:p w14:paraId="65C1A215" w14:textId="4A2D63AC" w:rsidR="00712633" w:rsidRPr="00E4666D" w:rsidRDefault="00712633" w:rsidP="007215B0">
      <w:pPr>
        <w:spacing w:after="240" w:line="240" w:lineRule="exact"/>
        <w:rPr>
          <w:rFonts w:eastAsia="Segoe UI" w:cs="Segoe UI"/>
          <w:color w:val="auto"/>
          <w:lang w:val="es-ES"/>
        </w:rPr>
      </w:pPr>
      <w:r>
        <w:rPr>
          <w:lang w:val="es-ES"/>
        </w:rPr>
        <w:lastRenderedPageBreak/>
        <w:t xml:space="preserve">El </w:t>
      </w:r>
      <w:hyperlink r:id="rId38" w:history="1">
        <w:r w:rsidRPr="00C13307">
          <w:rPr>
            <w:rStyle w:val="Hyperlink"/>
            <w:i/>
            <w:iCs/>
            <w:lang w:val="es-ES"/>
          </w:rPr>
          <w:t>Manual del Sistema Mundial Integrado de Sistemas d</w:t>
        </w:r>
        <w:r w:rsidRPr="00C13307">
          <w:rPr>
            <w:rStyle w:val="Hyperlink"/>
            <w:i/>
            <w:iCs/>
            <w:lang w:val="es-ES"/>
          </w:rPr>
          <w:t>e</w:t>
        </w:r>
        <w:r w:rsidRPr="00C13307">
          <w:rPr>
            <w:rStyle w:val="Hyperlink"/>
            <w:i/>
            <w:iCs/>
            <w:lang w:val="es-ES"/>
          </w:rPr>
          <w:t xml:space="preserve"> Observación de la OMM</w:t>
        </w:r>
      </w:hyperlink>
      <w:r>
        <w:rPr>
          <w:lang w:val="es-ES"/>
        </w:rPr>
        <w:t xml:space="preserve"> (OMM</w:t>
      </w:r>
      <w:r w:rsidR="005E488E">
        <w:rPr>
          <w:lang w:val="es-ES"/>
        </w:rPr>
        <w:noBreakHyphen/>
      </w:r>
      <w:r>
        <w:rPr>
          <w:lang w:val="es-ES"/>
        </w:rPr>
        <w:t>Nº</w:t>
      </w:r>
      <w:r w:rsidR="00C13307">
        <w:rPr>
          <w:lang w:val="es-ES"/>
        </w:rPr>
        <w:t> </w:t>
      </w:r>
      <w:r>
        <w:rPr>
          <w:lang w:val="es-ES"/>
        </w:rPr>
        <w:t xml:space="preserve">1160), el </w:t>
      </w:r>
      <w:r>
        <w:rPr>
          <w:i/>
          <w:iCs/>
          <w:lang w:val="es-ES"/>
        </w:rPr>
        <w:t>Manual de claves</w:t>
      </w:r>
      <w:r>
        <w:rPr>
          <w:lang w:val="es-ES"/>
        </w:rPr>
        <w:t xml:space="preserve"> (OMM-Nº</w:t>
      </w:r>
      <w:r w:rsidR="00C13307">
        <w:rPr>
          <w:lang w:val="es-ES"/>
        </w:rPr>
        <w:t> </w:t>
      </w:r>
      <w:r>
        <w:rPr>
          <w:lang w:val="es-ES"/>
        </w:rPr>
        <w:t xml:space="preserve">306), volúmenes </w:t>
      </w:r>
      <w:hyperlink r:id="rId39" w:history="1">
        <w:r w:rsidRPr="00A525FF">
          <w:rPr>
            <w:rStyle w:val="Hyperlink"/>
            <w:i/>
            <w:iCs/>
            <w:lang w:val="es-ES"/>
          </w:rPr>
          <w:t>I</w:t>
        </w:r>
        <w:r w:rsidRPr="00A525FF">
          <w:rPr>
            <w:rStyle w:val="Hyperlink"/>
            <w:i/>
            <w:iCs/>
            <w:lang w:val="es-ES"/>
          </w:rPr>
          <w:t>.</w:t>
        </w:r>
        <w:r w:rsidRPr="00A525FF">
          <w:rPr>
            <w:rStyle w:val="Hyperlink"/>
            <w:i/>
            <w:iCs/>
            <w:lang w:val="es-ES"/>
          </w:rPr>
          <w:t>1</w:t>
        </w:r>
      </w:hyperlink>
      <w:r w:rsidRPr="00A525FF">
        <w:rPr>
          <w:i/>
          <w:iCs/>
          <w:lang w:val="es-ES"/>
        </w:rPr>
        <w:t xml:space="preserve">, </w:t>
      </w:r>
      <w:hyperlink r:id="rId40" w:history="1">
        <w:r w:rsidRPr="00A525FF">
          <w:rPr>
            <w:rStyle w:val="Hyperlink"/>
            <w:i/>
            <w:iCs/>
            <w:lang w:val="es-ES"/>
          </w:rPr>
          <w:t>I</w:t>
        </w:r>
        <w:r w:rsidRPr="00A525FF">
          <w:rPr>
            <w:rStyle w:val="Hyperlink"/>
            <w:i/>
            <w:iCs/>
            <w:lang w:val="es-ES"/>
          </w:rPr>
          <w:t>.</w:t>
        </w:r>
        <w:r w:rsidRPr="00A525FF">
          <w:rPr>
            <w:rStyle w:val="Hyperlink"/>
            <w:i/>
            <w:iCs/>
            <w:lang w:val="es-ES"/>
          </w:rPr>
          <w:t>2</w:t>
        </w:r>
      </w:hyperlink>
      <w:r>
        <w:rPr>
          <w:lang w:val="es-ES"/>
        </w:rPr>
        <w:t xml:space="preserve"> e </w:t>
      </w:r>
      <w:hyperlink r:id="rId41" w:history="1">
        <w:r w:rsidRPr="00A525FF">
          <w:rPr>
            <w:rStyle w:val="Hyperlink"/>
            <w:i/>
            <w:iCs/>
            <w:lang w:val="es-ES"/>
          </w:rPr>
          <w:t>I.</w:t>
        </w:r>
        <w:r w:rsidRPr="00A525FF">
          <w:rPr>
            <w:rStyle w:val="Hyperlink"/>
            <w:i/>
            <w:iCs/>
            <w:lang w:val="es-ES"/>
          </w:rPr>
          <w:t>3</w:t>
        </w:r>
        <w:r w:rsidRPr="00A525FF">
          <w:rPr>
            <w:rStyle w:val="Hyperlink"/>
            <w:i/>
            <w:iCs/>
            <w:lang w:val="es-ES"/>
          </w:rPr>
          <w:t>.</w:t>
        </w:r>
      </w:hyperlink>
      <w:r>
        <w:rPr>
          <w:lang w:val="es-ES"/>
        </w:rPr>
        <w:t xml:space="preserve">, el </w:t>
      </w:r>
      <w:hyperlink r:id="rId42" w:history="1">
        <w:r w:rsidRPr="00C13307">
          <w:rPr>
            <w:rStyle w:val="Hyperlink"/>
            <w:i/>
            <w:iCs/>
            <w:lang w:val="es-ES"/>
          </w:rPr>
          <w:t xml:space="preserve">Manual del Sistema de información </w:t>
        </w:r>
        <w:r w:rsidRPr="00C13307">
          <w:rPr>
            <w:rStyle w:val="Hyperlink"/>
            <w:i/>
            <w:iCs/>
            <w:lang w:val="es-ES"/>
          </w:rPr>
          <w:t>d</w:t>
        </w:r>
        <w:r w:rsidRPr="00C13307">
          <w:rPr>
            <w:rStyle w:val="Hyperlink"/>
            <w:i/>
            <w:iCs/>
            <w:lang w:val="es-ES"/>
          </w:rPr>
          <w:t>e la OMM</w:t>
        </w:r>
      </w:hyperlink>
      <w:r>
        <w:rPr>
          <w:lang w:val="es-ES"/>
        </w:rPr>
        <w:t xml:space="preserve"> (OMM-Nº</w:t>
      </w:r>
      <w:r w:rsidR="00C13307">
        <w:rPr>
          <w:lang w:val="es-ES"/>
        </w:rPr>
        <w:t> </w:t>
      </w:r>
      <w:r>
        <w:rPr>
          <w:lang w:val="es-ES"/>
        </w:rPr>
        <w:t xml:space="preserve">1060) y el </w:t>
      </w:r>
      <w:hyperlink r:id="rId43" w:history="1">
        <w:r w:rsidRPr="00C13307">
          <w:rPr>
            <w:rStyle w:val="Hyperlink"/>
            <w:i/>
            <w:iCs/>
            <w:lang w:val="es-ES"/>
          </w:rPr>
          <w:t>Manual del Sistema Mundial de Telecomunicación</w:t>
        </w:r>
      </w:hyperlink>
      <w:r>
        <w:rPr>
          <w:lang w:val="es-ES"/>
        </w:rPr>
        <w:t xml:space="preserve"> (OMM-Nº</w:t>
      </w:r>
      <w:r w:rsidR="00C13307">
        <w:rPr>
          <w:lang w:val="es-ES"/>
        </w:rPr>
        <w:t> </w:t>
      </w:r>
      <w:r>
        <w:rPr>
          <w:lang w:val="es-ES"/>
        </w:rPr>
        <w:t>386) son los manuales clave</w:t>
      </w:r>
      <w:r w:rsidR="00F40BF7">
        <w:rPr>
          <w:lang w:val="es-ES"/>
        </w:rPr>
        <w:t>s</w:t>
      </w:r>
      <w:r>
        <w:rPr>
          <w:lang w:val="es-ES"/>
        </w:rPr>
        <w:t xml:space="preserve"> del Reglamento Técnico de la OMM que han de seguirse para crear una red, y para notificar y poner a disposición de la comunidad internacional las observaciones y los metadatos a través del SIO y del sistema de gestión de metadatos de la OMM OSCAR/Superficie.</w:t>
      </w:r>
    </w:p>
    <w:p w14:paraId="0BE86E8A" w14:textId="4460C0B3" w:rsidR="00085791" w:rsidRPr="005561DB" w:rsidRDefault="00B869D1" w:rsidP="002D6853">
      <w:pPr>
        <w:pStyle w:val="Bodytext"/>
        <w:jc w:val="both"/>
        <w:rPr>
          <w:rFonts w:eastAsia="Segoe UI" w:cs="Segoe UI"/>
          <w:color w:val="auto"/>
          <w:lang w:val="es-ES"/>
        </w:rPr>
      </w:pPr>
      <w:r>
        <w:rPr>
          <w:lang w:val="es-ES"/>
        </w:rPr>
        <w:t>Las actividades y los resultados del Módulo 3 se resumen en el cuadro 5.9.</w:t>
      </w:r>
    </w:p>
    <w:p w14:paraId="6EE5585B" w14:textId="77777777" w:rsidR="00233607" w:rsidRPr="00E4666D" w:rsidRDefault="00233607" w:rsidP="00FB7E6A">
      <w:pPr>
        <w:spacing w:after="240" w:line="240" w:lineRule="exact"/>
        <w:jc w:val="center"/>
        <w:rPr>
          <w:b/>
          <w:bCs/>
          <w:lang w:val="es-ES"/>
        </w:rPr>
      </w:pPr>
      <w:r>
        <w:rPr>
          <w:b/>
          <w:bCs/>
          <w:lang w:val="es-ES"/>
        </w:rPr>
        <w:t>Cuadro 5.9.</w:t>
      </w:r>
      <w:r>
        <w:rPr>
          <w:lang w:val="es-ES"/>
        </w:rPr>
        <w:t xml:space="preserve"> </w:t>
      </w:r>
      <w:r>
        <w:rPr>
          <w:b/>
          <w:bCs/>
          <w:lang w:val="es-ES"/>
        </w:rPr>
        <w:t>Actividades y resultados del Módulo 3</w:t>
      </w:r>
    </w:p>
    <w:tbl>
      <w:tblPr>
        <w:tblStyle w:val="TableGrid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A0" w:firstRow="1" w:lastRow="0" w:firstColumn="1" w:lastColumn="0" w:noHBand="1" w:noVBand="1"/>
      </w:tblPr>
      <w:tblGrid>
        <w:gridCol w:w="989"/>
        <w:gridCol w:w="1842"/>
        <w:gridCol w:w="3133"/>
        <w:gridCol w:w="3665"/>
      </w:tblGrid>
      <w:tr w:rsidR="00D00E55" w:rsidRPr="005561DB" w14:paraId="5E548740" w14:textId="77777777" w:rsidTr="007857F2">
        <w:trPr>
          <w:trHeight w:val="480"/>
          <w:tblHeader/>
        </w:trPr>
        <w:tc>
          <w:tcPr>
            <w:tcW w:w="513" w:type="pct"/>
            <w:vMerge w:val="restart"/>
            <w:shd w:val="clear" w:color="auto" w:fill="F2F2F2" w:themeFill="background1" w:themeFillShade="F2"/>
            <w:vAlign w:val="center"/>
          </w:tcPr>
          <w:p w14:paraId="6F7B8C0C" w14:textId="77777777" w:rsidR="00712633" w:rsidRPr="005561DB" w:rsidRDefault="00712633" w:rsidP="00FB7E6A">
            <w:pPr>
              <w:spacing w:after="60"/>
              <w:jc w:val="center"/>
              <w:rPr>
                <w:rFonts w:eastAsia="Segoe UI" w:cs="Segoe UI"/>
                <w:b/>
                <w:bCs/>
                <w:color w:val="auto"/>
                <w:sz w:val="20"/>
                <w:szCs w:val="20"/>
              </w:rPr>
            </w:pPr>
            <w:r w:rsidRPr="005561DB">
              <w:rPr>
                <w:b/>
                <w:bCs/>
                <w:sz w:val="20"/>
                <w:szCs w:val="20"/>
                <w:lang w:val="es-ES"/>
              </w:rPr>
              <w:t>Punto</w:t>
            </w:r>
          </w:p>
        </w:tc>
        <w:tc>
          <w:tcPr>
            <w:tcW w:w="956" w:type="pct"/>
            <w:vMerge w:val="restart"/>
            <w:shd w:val="clear" w:color="auto" w:fill="F2F2F2" w:themeFill="background1" w:themeFillShade="F2"/>
            <w:vAlign w:val="center"/>
          </w:tcPr>
          <w:p w14:paraId="71B8A543" w14:textId="77777777" w:rsidR="00712633" w:rsidRPr="005561DB" w:rsidRDefault="00712633" w:rsidP="00FB7E6A">
            <w:pPr>
              <w:spacing w:after="60"/>
              <w:jc w:val="center"/>
              <w:rPr>
                <w:rFonts w:eastAsia="Segoe UI" w:cs="Segoe UI"/>
                <w:b/>
                <w:bCs/>
                <w:color w:val="auto"/>
                <w:sz w:val="20"/>
                <w:szCs w:val="20"/>
              </w:rPr>
            </w:pPr>
            <w:r w:rsidRPr="005561DB">
              <w:rPr>
                <w:b/>
                <w:bCs/>
                <w:sz w:val="20"/>
                <w:szCs w:val="20"/>
                <w:lang w:val="es-ES"/>
              </w:rPr>
              <w:t>Actividad</w:t>
            </w:r>
          </w:p>
        </w:tc>
        <w:tc>
          <w:tcPr>
            <w:tcW w:w="1627" w:type="pct"/>
            <w:vMerge w:val="restart"/>
            <w:shd w:val="clear" w:color="auto" w:fill="F2F2F2" w:themeFill="background1" w:themeFillShade="F2"/>
            <w:vAlign w:val="center"/>
          </w:tcPr>
          <w:p w14:paraId="53A8F3C0" w14:textId="77777777" w:rsidR="00712633" w:rsidRPr="005561DB" w:rsidRDefault="00712633" w:rsidP="00FB7E6A">
            <w:pPr>
              <w:spacing w:after="60"/>
              <w:jc w:val="center"/>
              <w:rPr>
                <w:rFonts w:eastAsia="Segoe UI" w:cs="Segoe UI"/>
                <w:b/>
                <w:bCs/>
                <w:color w:val="auto"/>
                <w:sz w:val="20"/>
                <w:szCs w:val="20"/>
              </w:rPr>
            </w:pPr>
            <w:r w:rsidRPr="005561DB">
              <w:rPr>
                <w:b/>
                <w:bCs/>
                <w:sz w:val="20"/>
                <w:szCs w:val="20"/>
                <w:lang w:val="es-ES"/>
              </w:rPr>
              <w:t>Resultados</w:t>
            </w:r>
          </w:p>
        </w:tc>
        <w:tc>
          <w:tcPr>
            <w:tcW w:w="1903" w:type="pct"/>
            <w:vMerge w:val="restart"/>
            <w:shd w:val="clear" w:color="auto" w:fill="F2F2F2" w:themeFill="background1" w:themeFillShade="F2"/>
            <w:vAlign w:val="center"/>
          </w:tcPr>
          <w:p w14:paraId="139BE2B2" w14:textId="163024BD" w:rsidR="00712633" w:rsidRPr="005561DB" w:rsidRDefault="00712633" w:rsidP="00711762">
            <w:pPr>
              <w:spacing w:before="120" w:after="120"/>
              <w:jc w:val="center"/>
              <w:rPr>
                <w:rFonts w:eastAsia="Segoe UI" w:cs="Segoe UI"/>
                <w:b/>
                <w:bCs/>
                <w:color w:val="auto"/>
                <w:sz w:val="20"/>
                <w:szCs w:val="20"/>
              </w:rPr>
            </w:pPr>
            <w:r w:rsidRPr="005561DB">
              <w:rPr>
                <w:b/>
                <w:bCs/>
                <w:sz w:val="20"/>
                <w:szCs w:val="20"/>
                <w:lang w:val="es-ES"/>
              </w:rPr>
              <w:t xml:space="preserve">Material de orientación </w:t>
            </w:r>
            <w:r w:rsidR="000E2B90">
              <w:rPr>
                <w:b/>
                <w:bCs/>
                <w:sz w:val="20"/>
                <w:szCs w:val="20"/>
                <w:lang w:val="es-ES"/>
              </w:rPr>
              <w:t>correspondiente</w:t>
            </w:r>
          </w:p>
        </w:tc>
      </w:tr>
      <w:tr w:rsidR="00D00E55" w:rsidRPr="005561DB" w14:paraId="61A614D4" w14:textId="77777777" w:rsidTr="007857F2">
        <w:trPr>
          <w:trHeight w:val="303"/>
          <w:tblHeader/>
        </w:trPr>
        <w:tc>
          <w:tcPr>
            <w:tcW w:w="513" w:type="pct"/>
            <w:vMerge/>
            <w:shd w:val="clear" w:color="auto" w:fill="F2F2F2" w:themeFill="background1" w:themeFillShade="F2"/>
          </w:tcPr>
          <w:p w14:paraId="6BD5921E" w14:textId="77777777" w:rsidR="00712633" w:rsidRPr="005561DB" w:rsidRDefault="00712633" w:rsidP="00FB7E6A">
            <w:pPr>
              <w:spacing w:after="60"/>
              <w:rPr>
                <w:rFonts w:eastAsia="Calibri" w:cs="Calibri"/>
                <w:color w:val="auto"/>
                <w:sz w:val="20"/>
                <w:szCs w:val="20"/>
              </w:rPr>
            </w:pPr>
          </w:p>
        </w:tc>
        <w:tc>
          <w:tcPr>
            <w:tcW w:w="956" w:type="pct"/>
            <w:vMerge/>
            <w:shd w:val="clear" w:color="auto" w:fill="F2F2F2" w:themeFill="background1" w:themeFillShade="F2"/>
          </w:tcPr>
          <w:p w14:paraId="7B536A01" w14:textId="77777777" w:rsidR="00712633" w:rsidRPr="005561DB" w:rsidRDefault="00712633" w:rsidP="00FB7E6A">
            <w:pPr>
              <w:spacing w:after="60"/>
              <w:rPr>
                <w:rFonts w:eastAsia="Calibri" w:cs="Calibri"/>
                <w:color w:val="auto"/>
                <w:sz w:val="20"/>
                <w:szCs w:val="20"/>
              </w:rPr>
            </w:pPr>
          </w:p>
        </w:tc>
        <w:tc>
          <w:tcPr>
            <w:tcW w:w="1627" w:type="pct"/>
            <w:vMerge/>
            <w:shd w:val="clear" w:color="auto" w:fill="F2F2F2" w:themeFill="background1" w:themeFillShade="F2"/>
          </w:tcPr>
          <w:p w14:paraId="4A1691C9" w14:textId="77777777" w:rsidR="00712633" w:rsidRPr="005561DB" w:rsidRDefault="00712633" w:rsidP="00FB7E6A">
            <w:pPr>
              <w:spacing w:after="60"/>
              <w:rPr>
                <w:rFonts w:eastAsia="Calibri" w:cs="Calibri"/>
                <w:color w:val="auto"/>
                <w:sz w:val="20"/>
                <w:szCs w:val="20"/>
              </w:rPr>
            </w:pPr>
          </w:p>
        </w:tc>
        <w:tc>
          <w:tcPr>
            <w:tcW w:w="1903" w:type="pct"/>
            <w:vMerge/>
            <w:shd w:val="clear" w:color="auto" w:fill="F2F2F2" w:themeFill="background1" w:themeFillShade="F2"/>
          </w:tcPr>
          <w:p w14:paraId="5EE3BBBC" w14:textId="77777777" w:rsidR="00712633" w:rsidRPr="005561DB" w:rsidRDefault="00712633" w:rsidP="00711762">
            <w:pPr>
              <w:spacing w:before="120" w:after="120"/>
              <w:rPr>
                <w:rFonts w:eastAsia="Calibri" w:cs="Calibri"/>
                <w:color w:val="auto"/>
                <w:sz w:val="20"/>
                <w:szCs w:val="20"/>
              </w:rPr>
            </w:pPr>
          </w:p>
        </w:tc>
      </w:tr>
      <w:tr w:rsidR="00D00E55" w:rsidRPr="00AE4BEE" w14:paraId="6C64161C" w14:textId="77777777" w:rsidTr="007857F2">
        <w:tc>
          <w:tcPr>
            <w:tcW w:w="513" w:type="pct"/>
            <w:tcBorders>
              <w:top w:val="single" w:sz="4" w:space="0" w:color="808080"/>
              <w:left w:val="single" w:sz="4" w:space="0" w:color="808080"/>
              <w:bottom w:val="single" w:sz="4" w:space="0" w:color="808080"/>
              <w:right w:val="single" w:sz="4" w:space="0" w:color="808080"/>
            </w:tcBorders>
            <w:shd w:val="clear" w:color="auto" w:fill="auto"/>
          </w:tcPr>
          <w:p w14:paraId="3B79FAAF" w14:textId="77777777" w:rsidR="00712633" w:rsidRPr="005561DB" w:rsidRDefault="00712633" w:rsidP="00FB7E6A">
            <w:pPr>
              <w:spacing w:after="60"/>
              <w:rPr>
                <w:rFonts w:eastAsia="Segoe UI" w:cs="Segoe UI"/>
                <w:color w:val="auto"/>
                <w:sz w:val="20"/>
                <w:szCs w:val="20"/>
              </w:rPr>
            </w:pPr>
            <w:r w:rsidRPr="005561DB">
              <w:rPr>
                <w:sz w:val="20"/>
                <w:szCs w:val="20"/>
                <w:lang w:val="es-ES"/>
              </w:rPr>
              <w:t>3.1</w:t>
            </w:r>
          </w:p>
        </w:tc>
        <w:tc>
          <w:tcPr>
            <w:tcW w:w="956" w:type="pct"/>
            <w:tcBorders>
              <w:top w:val="single" w:sz="4" w:space="0" w:color="808080"/>
              <w:left w:val="single" w:sz="4" w:space="0" w:color="808080"/>
              <w:bottom w:val="single" w:sz="4" w:space="0" w:color="808080"/>
              <w:right w:val="single" w:sz="4" w:space="0" w:color="808080"/>
            </w:tcBorders>
            <w:shd w:val="clear" w:color="auto" w:fill="auto"/>
          </w:tcPr>
          <w:p w14:paraId="5192D41B" w14:textId="77777777" w:rsidR="00712633" w:rsidRPr="005561DB" w:rsidRDefault="00712633" w:rsidP="00FB7E6A">
            <w:pPr>
              <w:spacing w:after="60"/>
              <w:rPr>
                <w:rFonts w:eastAsia="Segoe UI" w:cs="Segoe UI"/>
                <w:color w:val="auto"/>
                <w:sz w:val="20"/>
                <w:szCs w:val="20"/>
                <w:lang w:val="es-ES"/>
              </w:rPr>
            </w:pPr>
            <w:r w:rsidRPr="005561DB">
              <w:rPr>
                <w:sz w:val="20"/>
                <w:szCs w:val="20"/>
                <w:lang w:val="es-ES"/>
              </w:rPr>
              <w:t xml:space="preserve">Diseño de redes de observación en superficie, en altitud y marinas, así como de prácticas en materia de observaciones, incluidas las redes gestionadas por terceros </w:t>
            </w:r>
          </w:p>
        </w:tc>
        <w:tc>
          <w:tcPr>
            <w:tcW w:w="1627" w:type="pct"/>
            <w:tcBorders>
              <w:top w:val="single" w:sz="4" w:space="0" w:color="808080"/>
              <w:left w:val="single" w:sz="4" w:space="0" w:color="808080"/>
              <w:bottom w:val="single" w:sz="4" w:space="0" w:color="808080"/>
              <w:right w:val="single" w:sz="4" w:space="0" w:color="808080"/>
            </w:tcBorders>
            <w:shd w:val="clear" w:color="auto" w:fill="auto"/>
          </w:tcPr>
          <w:p w14:paraId="08DFE30F" w14:textId="77777777" w:rsidR="00712633" w:rsidRPr="005561DB" w:rsidRDefault="00712633" w:rsidP="00FB7E6A">
            <w:pPr>
              <w:numPr>
                <w:ilvl w:val="0"/>
                <w:numId w:val="10"/>
              </w:numPr>
              <w:spacing w:after="60"/>
              <w:ind w:left="357" w:hanging="357"/>
              <w:rPr>
                <w:rFonts w:eastAsia="Yu Mincho"/>
                <w:color w:val="auto"/>
                <w:sz w:val="20"/>
                <w:szCs w:val="20"/>
                <w:lang w:val="es-ES"/>
              </w:rPr>
            </w:pPr>
            <w:r w:rsidRPr="005561DB">
              <w:rPr>
                <w:sz w:val="20"/>
                <w:szCs w:val="20"/>
                <w:lang w:val="es-ES"/>
              </w:rPr>
              <w:t>Sobre la base del análisis de carencias y de la meta de la GBON a nivel nacional, se completará el diseño de una red de observaciones armonizada que incluya el emplazamiento y los instrumentos de las estaciones nuevas y mejoradas, a saber:</w:t>
            </w:r>
          </w:p>
          <w:p w14:paraId="1016625C" w14:textId="54348C5A" w:rsidR="00712633" w:rsidRPr="005561DB" w:rsidRDefault="00712633" w:rsidP="00FB7E6A">
            <w:pPr>
              <w:pStyle w:val="ListParagraph"/>
              <w:numPr>
                <w:ilvl w:val="0"/>
                <w:numId w:val="23"/>
              </w:numPr>
              <w:spacing w:after="60" w:line="240" w:lineRule="auto"/>
              <w:rPr>
                <w:rFonts w:ascii="Verdana" w:eastAsia="Segoe UI" w:hAnsi="Verdana" w:cs="Segoe UI"/>
                <w:color w:val="auto"/>
                <w:sz w:val="20"/>
                <w:szCs w:val="20"/>
                <w:lang w:val="es-ES"/>
              </w:rPr>
            </w:pPr>
            <w:r w:rsidRPr="005561DB">
              <w:rPr>
                <w:rFonts w:ascii="Verdana" w:hAnsi="Verdana"/>
                <w:sz w:val="20"/>
                <w:szCs w:val="20"/>
                <w:lang w:val="es-ES"/>
              </w:rPr>
              <w:t>Mapa del diseño de la red de observaciones y lista de estaciones de la GBON nuevas/rehabilitadas</w:t>
            </w:r>
          </w:p>
          <w:p w14:paraId="45C827D5" w14:textId="7EF94C75" w:rsidR="00712633" w:rsidRPr="005561DB" w:rsidRDefault="00712633" w:rsidP="00FB7E6A">
            <w:pPr>
              <w:pStyle w:val="ListParagraph"/>
              <w:numPr>
                <w:ilvl w:val="0"/>
                <w:numId w:val="23"/>
              </w:numPr>
              <w:spacing w:after="60" w:line="240" w:lineRule="auto"/>
              <w:rPr>
                <w:rFonts w:ascii="Verdana" w:eastAsia="Segoe UI" w:hAnsi="Verdana" w:cs="Segoe UI"/>
                <w:color w:val="auto"/>
                <w:sz w:val="20"/>
                <w:szCs w:val="20"/>
                <w:lang w:val="es-ES"/>
              </w:rPr>
            </w:pPr>
            <w:r w:rsidRPr="005561DB">
              <w:rPr>
                <w:rFonts w:ascii="Verdana" w:hAnsi="Verdana"/>
                <w:sz w:val="20"/>
                <w:szCs w:val="20"/>
                <w:lang w:val="es-ES"/>
              </w:rPr>
              <w:t>Lista de instrumentos y sistemas de observación por emplazamiento</w:t>
            </w:r>
          </w:p>
          <w:p w14:paraId="2AACEA00" w14:textId="77777777" w:rsidR="00712633" w:rsidRPr="005561DB" w:rsidRDefault="00712633" w:rsidP="00FB7E6A">
            <w:pPr>
              <w:pStyle w:val="ListParagraph"/>
              <w:numPr>
                <w:ilvl w:val="0"/>
                <w:numId w:val="23"/>
              </w:numPr>
              <w:spacing w:after="60" w:line="240" w:lineRule="auto"/>
              <w:ind w:left="714" w:hanging="357"/>
              <w:rPr>
                <w:rFonts w:ascii="Verdana" w:eastAsia="Segoe UI" w:hAnsi="Verdana" w:cs="Segoe UI"/>
                <w:color w:val="auto"/>
                <w:sz w:val="20"/>
                <w:szCs w:val="20"/>
                <w:lang w:val="es-ES"/>
              </w:rPr>
            </w:pPr>
            <w:r w:rsidRPr="005561DB">
              <w:rPr>
                <w:rFonts w:ascii="Verdana" w:hAnsi="Verdana"/>
                <w:sz w:val="20"/>
                <w:szCs w:val="20"/>
                <w:lang w:val="es-ES"/>
              </w:rPr>
              <w:t>Inversiones y actividades necesarias para la instalación de nuevas estaciones y la mejora de las existentes</w:t>
            </w:r>
          </w:p>
          <w:p w14:paraId="4699D0C0" w14:textId="77777777" w:rsidR="00F518CE" w:rsidRPr="005561DB" w:rsidRDefault="00F518CE" w:rsidP="00FB7E6A">
            <w:pPr>
              <w:pStyle w:val="ListParagraph"/>
              <w:numPr>
                <w:ilvl w:val="0"/>
                <w:numId w:val="23"/>
              </w:numPr>
              <w:spacing w:after="60" w:line="240" w:lineRule="auto"/>
              <w:ind w:left="714" w:hanging="357"/>
              <w:rPr>
                <w:rFonts w:ascii="Verdana" w:eastAsia="Segoe UI" w:hAnsi="Verdana" w:cs="Segoe UI"/>
                <w:color w:val="auto"/>
                <w:sz w:val="20"/>
                <w:szCs w:val="20"/>
                <w:lang w:val="es-ES"/>
              </w:rPr>
            </w:pPr>
            <w:r w:rsidRPr="005561DB">
              <w:rPr>
                <w:rFonts w:ascii="Verdana" w:hAnsi="Verdana"/>
                <w:sz w:val="20"/>
                <w:szCs w:val="20"/>
                <w:lang w:val="es-ES"/>
              </w:rPr>
              <w:t>Integración de consideraciones sobre sostenibilidad medioambiental en el diseño e implementación de la red (nuevas estaciones, instrumentos, etc.)</w:t>
            </w:r>
          </w:p>
          <w:p w14:paraId="15EA2BEC" w14:textId="77777777" w:rsidR="00712633" w:rsidRPr="005561DB" w:rsidRDefault="00712633" w:rsidP="00FB7E6A">
            <w:pPr>
              <w:numPr>
                <w:ilvl w:val="0"/>
                <w:numId w:val="10"/>
              </w:numPr>
              <w:spacing w:after="60"/>
              <w:rPr>
                <w:rFonts w:eastAsia="Segoe UI" w:cs="Segoe UI"/>
                <w:color w:val="auto"/>
                <w:sz w:val="20"/>
                <w:szCs w:val="20"/>
                <w:lang w:val="es-ES"/>
              </w:rPr>
            </w:pPr>
            <w:r w:rsidRPr="005561DB">
              <w:rPr>
                <w:sz w:val="20"/>
                <w:szCs w:val="20"/>
                <w:lang w:val="es-ES"/>
              </w:rPr>
              <w:t>Prácticas de observación definidas por red</w:t>
            </w:r>
          </w:p>
          <w:p w14:paraId="53A3ABDD" w14:textId="77777777" w:rsidR="00712633" w:rsidRPr="005561DB" w:rsidRDefault="00712633" w:rsidP="00FB7E6A">
            <w:pPr>
              <w:numPr>
                <w:ilvl w:val="0"/>
                <w:numId w:val="10"/>
              </w:numPr>
              <w:spacing w:after="60"/>
              <w:rPr>
                <w:rFonts w:eastAsia="Segoe UI" w:cs="Segoe UI"/>
                <w:color w:val="auto"/>
                <w:sz w:val="20"/>
                <w:szCs w:val="20"/>
                <w:lang w:val="es-ES"/>
              </w:rPr>
            </w:pPr>
            <w:r w:rsidRPr="005561DB">
              <w:rPr>
                <w:sz w:val="20"/>
                <w:szCs w:val="20"/>
                <w:lang w:val="es-ES"/>
              </w:rPr>
              <w:t xml:space="preserve">Plan de mantenimiento preliminar para las estaciones existentes y mejoradas/nuevas, </w:t>
            </w:r>
            <w:r w:rsidRPr="005561DB">
              <w:rPr>
                <w:sz w:val="20"/>
                <w:szCs w:val="20"/>
                <w:lang w:val="es-ES"/>
              </w:rPr>
              <w:lastRenderedPageBreak/>
              <w:t>incluidas las prácticas de calibración</w:t>
            </w:r>
          </w:p>
          <w:p w14:paraId="490520CA" w14:textId="77777777" w:rsidR="00712633" w:rsidRPr="005561DB" w:rsidRDefault="00712633" w:rsidP="00FB7E6A">
            <w:pPr>
              <w:numPr>
                <w:ilvl w:val="0"/>
                <w:numId w:val="10"/>
              </w:numPr>
              <w:spacing w:after="60"/>
              <w:rPr>
                <w:rFonts w:eastAsia="Segoe UI" w:cs="Segoe UI"/>
                <w:color w:val="auto"/>
                <w:sz w:val="20"/>
                <w:szCs w:val="20"/>
                <w:lang w:val="es-ES"/>
              </w:rPr>
            </w:pPr>
            <w:r w:rsidRPr="005561DB">
              <w:rPr>
                <w:sz w:val="20"/>
                <w:szCs w:val="20"/>
                <w:lang w:val="es-ES"/>
              </w:rPr>
              <w:t>Especificaciones técnicas de los nuevos instrumentos y sistemas de observación para el proceso de adquisiciones, incluidas las consideraciones sobre sostenibilidad</w:t>
            </w:r>
          </w:p>
        </w:tc>
        <w:tc>
          <w:tcPr>
            <w:tcW w:w="1903" w:type="pct"/>
            <w:tcBorders>
              <w:top w:val="single" w:sz="4" w:space="0" w:color="808080"/>
              <w:left w:val="single" w:sz="4" w:space="0" w:color="808080"/>
              <w:bottom w:val="single" w:sz="4" w:space="0" w:color="808080"/>
              <w:right w:val="single" w:sz="4" w:space="0" w:color="808080"/>
            </w:tcBorders>
            <w:shd w:val="clear" w:color="auto" w:fill="auto"/>
          </w:tcPr>
          <w:p w14:paraId="64C7C79D" w14:textId="4A558A23" w:rsidR="00712633" w:rsidRPr="005561DB" w:rsidRDefault="008C2CFE" w:rsidP="00711762">
            <w:pPr>
              <w:spacing w:before="60" w:after="60"/>
              <w:rPr>
                <w:sz w:val="20"/>
                <w:szCs w:val="20"/>
                <w:lang w:val="es-ES"/>
              </w:rPr>
            </w:pPr>
            <w:hyperlink r:id="rId44" w:history="1">
              <w:r w:rsidR="00D00C61" w:rsidRPr="00C13307">
                <w:rPr>
                  <w:rStyle w:val="Hyperlink"/>
                  <w:i/>
                  <w:iCs/>
                  <w:sz w:val="20"/>
                  <w:szCs w:val="20"/>
                  <w:lang w:val="es-ES"/>
                </w:rPr>
                <w:t>Manual del Sistema Mundial Integrado de Sistemas de Observación de la OMM</w:t>
              </w:r>
            </w:hyperlink>
            <w:r w:rsidR="00D00C61" w:rsidRPr="005561DB">
              <w:rPr>
                <w:sz w:val="20"/>
                <w:szCs w:val="20"/>
                <w:lang w:val="es-ES"/>
              </w:rPr>
              <w:t xml:space="preserve"> </w:t>
            </w:r>
            <w:r w:rsidR="005E488E">
              <w:rPr>
                <w:sz w:val="20"/>
                <w:szCs w:val="20"/>
                <w:lang w:val="es-ES"/>
              </w:rPr>
              <w:br/>
            </w:r>
            <w:r w:rsidR="00D00C61" w:rsidRPr="005561DB">
              <w:rPr>
                <w:sz w:val="20"/>
                <w:szCs w:val="20"/>
                <w:lang w:val="es-ES"/>
              </w:rPr>
              <w:t>(OMM-Nº 1160)</w:t>
            </w:r>
          </w:p>
          <w:p w14:paraId="5F41B0E5" w14:textId="4EA13396" w:rsidR="00711762" w:rsidRPr="005561DB" w:rsidRDefault="008C2CFE" w:rsidP="00711762">
            <w:pPr>
              <w:pStyle w:val="Bodytext"/>
              <w:spacing w:before="60" w:after="60"/>
              <w:rPr>
                <w:sz w:val="20"/>
                <w:szCs w:val="20"/>
                <w:lang w:val="es-ES"/>
              </w:rPr>
            </w:pPr>
            <w:hyperlink r:id="rId45" w:history="1">
              <w:r w:rsidR="00D00C61" w:rsidRPr="00C13307">
                <w:rPr>
                  <w:rStyle w:val="Hyperlink"/>
                  <w:i/>
                  <w:iCs/>
                  <w:sz w:val="20"/>
                  <w:szCs w:val="20"/>
                  <w:lang w:val="es-ES"/>
                </w:rPr>
                <w:t>Guía del Sistema Mundial Integrado de Sistemas de Observación de la OMM</w:t>
              </w:r>
            </w:hyperlink>
            <w:r w:rsidR="00D00C61" w:rsidRPr="005561DB">
              <w:rPr>
                <w:sz w:val="20"/>
                <w:szCs w:val="20"/>
                <w:lang w:val="es-ES"/>
              </w:rPr>
              <w:t xml:space="preserve"> </w:t>
            </w:r>
            <w:r w:rsidR="005E488E">
              <w:rPr>
                <w:sz w:val="20"/>
                <w:szCs w:val="20"/>
                <w:lang w:val="es-ES"/>
              </w:rPr>
              <w:br/>
            </w:r>
            <w:r w:rsidR="00D00C61" w:rsidRPr="005561DB">
              <w:rPr>
                <w:sz w:val="20"/>
                <w:szCs w:val="20"/>
                <w:lang w:val="es-ES"/>
              </w:rPr>
              <w:t>(OMM-Nº 1165)</w:t>
            </w:r>
          </w:p>
          <w:p w14:paraId="762C1961" w14:textId="1B123AF1" w:rsidR="00712633" w:rsidRPr="005561DB" w:rsidRDefault="008C2CFE" w:rsidP="00711762">
            <w:pPr>
              <w:spacing w:before="60" w:after="60"/>
              <w:rPr>
                <w:rFonts w:eastAsia="Segoe UI" w:cs="Segoe UI"/>
                <w:color w:val="auto"/>
                <w:sz w:val="20"/>
                <w:szCs w:val="20"/>
                <w:lang w:val="es-ES"/>
              </w:rPr>
            </w:pPr>
            <w:hyperlink r:id="rId46" w:history="1">
              <w:r w:rsidR="00D00C61" w:rsidRPr="00C13307">
                <w:rPr>
                  <w:rStyle w:val="Hyperlink"/>
                  <w:i/>
                  <w:iCs/>
                  <w:sz w:val="20"/>
                  <w:szCs w:val="20"/>
                  <w:lang w:val="es-ES"/>
                </w:rPr>
                <w:t>Guía de Instrumentos y Métodos de Observación</w:t>
              </w:r>
            </w:hyperlink>
            <w:r w:rsidR="00D00C61" w:rsidRPr="005561DB">
              <w:rPr>
                <w:sz w:val="20"/>
                <w:szCs w:val="20"/>
                <w:lang w:val="es-ES"/>
              </w:rPr>
              <w:t xml:space="preserve"> (OMM-Nº 8)</w:t>
            </w:r>
          </w:p>
          <w:p w14:paraId="14D6966D" w14:textId="18256E19" w:rsidR="00712633" w:rsidRPr="005561DB" w:rsidRDefault="00712633" w:rsidP="00711762">
            <w:pPr>
              <w:spacing w:before="60" w:after="60"/>
              <w:rPr>
                <w:rFonts w:eastAsia="Segoe UI" w:cs="Segoe UI"/>
                <w:color w:val="auto"/>
                <w:sz w:val="20"/>
                <w:szCs w:val="20"/>
                <w:lang w:val="es-ES"/>
              </w:rPr>
            </w:pPr>
            <w:r w:rsidRPr="005561DB">
              <w:rPr>
                <w:sz w:val="20"/>
                <w:szCs w:val="20"/>
                <w:lang w:val="es-ES"/>
              </w:rPr>
              <w:t xml:space="preserve">Informe Nº 136 de la serie de informes sobre instrumentos y métodos de observación: </w:t>
            </w:r>
            <w:hyperlink r:id="rId47" w:history="1">
              <w:r w:rsidRPr="00C13307">
                <w:rPr>
                  <w:rStyle w:val="Hyperlink"/>
                  <w:sz w:val="20"/>
                  <w:szCs w:val="20"/>
                  <w:lang w:val="es-ES"/>
                </w:rPr>
                <w:t>Especificaciones genéricas de las licitaciones de las estaciones meteorológicas automáticas (EMA)</w:t>
              </w:r>
            </w:hyperlink>
          </w:p>
          <w:p w14:paraId="07559490" w14:textId="77777777" w:rsidR="002C0996" w:rsidRPr="005561DB" w:rsidRDefault="002C0996" w:rsidP="00711762">
            <w:pPr>
              <w:pStyle w:val="Bodytext"/>
              <w:spacing w:before="60" w:after="60" w:line="240" w:lineRule="auto"/>
              <w:rPr>
                <w:i/>
                <w:iCs/>
                <w:sz w:val="20"/>
                <w:szCs w:val="20"/>
                <w:lang w:val="es-ES"/>
              </w:rPr>
            </w:pPr>
          </w:p>
          <w:p w14:paraId="79311E4B" w14:textId="77777777" w:rsidR="00712633" w:rsidRPr="005561DB" w:rsidRDefault="00712633" w:rsidP="00711762">
            <w:pPr>
              <w:spacing w:before="120" w:after="120"/>
              <w:rPr>
                <w:rFonts w:eastAsia="Segoe UI" w:cs="Segoe UI"/>
                <w:color w:val="auto"/>
                <w:sz w:val="20"/>
                <w:szCs w:val="20"/>
                <w:lang w:val="es-ES"/>
              </w:rPr>
            </w:pPr>
          </w:p>
        </w:tc>
      </w:tr>
      <w:tr w:rsidR="00D00E55" w:rsidRPr="00AE4BEE" w14:paraId="7CE9BDAF" w14:textId="77777777" w:rsidTr="007857F2">
        <w:tc>
          <w:tcPr>
            <w:tcW w:w="513" w:type="pct"/>
            <w:tcBorders>
              <w:top w:val="single" w:sz="4" w:space="0" w:color="808080"/>
              <w:left w:val="single" w:sz="4" w:space="0" w:color="808080"/>
              <w:bottom w:val="single" w:sz="4" w:space="0" w:color="808080"/>
              <w:right w:val="single" w:sz="4" w:space="0" w:color="808080"/>
            </w:tcBorders>
            <w:shd w:val="clear" w:color="auto" w:fill="auto"/>
          </w:tcPr>
          <w:p w14:paraId="56B11B8B" w14:textId="77777777" w:rsidR="00712633" w:rsidRPr="005561DB" w:rsidRDefault="00712633" w:rsidP="00FB7E6A">
            <w:pPr>
              <w:keepNext/>
              <w:keepLines/>
              <w:spacing w:after="60"/>
              <w:rPr>
                <w:rFonts w:eastAsia="Segoe UI" w:cs="Segoe UI"/>
                <w:color w:val="auto"/>
                <w:sz w:val="20"/>
                <w:szCs w:val="20"/>
              </w:rPr>
            </w:pPr>
            <w:r w:rsidRPr="005561DB">
              <w:rPr>
                <w:sz w:val="20"/>
                <w:szCs w:val="20"/>
                <w:lang w:val="es-ES"/>
              </w:rPr>
              <w:lastRenderedPageBreak/>
              <w:t>3.2</w:t>
            </w:r>
          </w:p>
        </w:tc>
        <w:tc>
          <w:tcPr>
            <w:tcW w:w="956" w:type="pct"/>
            <w:tcBorders>
              <w:top w:val="single" w:sz="4" w:space="0" w:color="808080"/>
              <w:left w:val="single" w:sz="4" w:space="0" w:color="808080"/>
              <w:bottom w:val="single" w:sz="4" w:space="0" w:color="808080"/>
              <w:right w:val="single" w:sz="4" w:space="0" w:color="808080"/>
            </w:tcBorders>
            <w:shd w:val="clear" w:color="auto" w:fill="auto"/>
          </w:tcPr>
          <w:p w14:paraId="637A8893" w14:textId="77777777" w:rsidR="00712633" w:rsidRPr="005561DB" w:rsidRDefault="00712633" w:rsidP="00FB7E6A">
            <w:pPr>
              <w:keepNext/>
              <w:keepLines/>
              <w:spacing w:after="60"/>
              <w:rPr>
                <w:rFonts w:eastAsia="Segoe UI" w:cs="Segoe UI"/>
                <w:color w:val="auto"/>
                <w:sz w:val="20"/>
                <w:szCs w:val="20"/>
                <w:lang w:val="es-ES"/>
              </w:rPr>
            </w:pPr>
            <w:r w:rsidRPr="005561DB">
              <w:rPr>
                <w:sz w:val="20"/>
                <w:szCs w:val="20"/>
                <w:lang w:val="es-ES"/>
              </w:rPr>
              <w:t xml:space="preserve">Diseño de infraestructura y servicios de tecnología de la información y las comunicaciones </w:t>
            </w:r>
          </w:p>
        </w:tc>
        <w:tc>
          <w:tcPr>
            <w:tcW w:w="1627" w:type="pct"/>
            <w:tcBorders>
              <w:top w:val="single" w:sz="4" w:space="0" w:color="808080"/>
              <w:left w:val="single" w:sz="4" w:space="0" w:color="808080"/>
              <w:bottom w:val="single" w:sz="4" w:space="0" w:color="808080"/>
              <w:right w:val="single" w:sz="4" w:space="0" w:color="808080"/>
            </w:tcBorders>
            <w:shd w:val="clear" w:color="auto" w:fill="auto"/>
          </w:tcPr>
          <w:p w14:paraId="6ED64A83" w14:textId="453779A1" w:rsidR="00712633" w:rsidRPr="005561DB" w:rsidRDefault="00712633" w:rsidP="00FB7E6A">
            <w:pPr>
              <w:keepNext/>
              <w:keepLines/>
              <w:numPr>
                <w:ilvl w:val="0"/>
                <w:numId w:val="24"/>
              </w:numPr>
              <w:spacing w:after="60"/>
              <w:textAlignment w:val="baseline"/>
              <w:rPr>
                <w:rFonts w:eastAsia="Times New Roman" w:cs="Segoe UI"/>
                <w:color w:val="auto"/>
                <w:sz w:val="20"/>
                <w:szCs w:val="20"/>
                <w:lang w:val="es-ES"/>
              </w:rPr>
            </w:pPr>
            <w:r w:rsidRPr="005561DB">
              <w:rPr>
                <w:sz w:val="20"/>
                <w:szCs w:val="20"/>
                <w:lang w:val="es-ES"/>
              </w:rPr>
              <w:t>Diseño de infraestructura y servicios de tecnología de la información y las comunicaciones para soluciones de transmisión de datos desde una estación de observaci</w:t>
            </w:r>
            <w:r w:rsidR="003E2669">
              <w:rPr>
                <w:sz w:val="20"/>
                <w:szCs w:val="20"/>
                <w:lang w:val="es-ES"/>
              </w:rPr>
              <w:t>ones</w:t>
            </w:r>
            <w:r w:rsidRPr="005561DB">
              <w:rPr>
                <w:sz w:val="20"/>
                <w:szCs w:val="20"/>
                <w:lang w:val="es-ES"/>
              </w:rPr>
              <w:t xml:space="preserve"> al sistema nacional de gestión de datos en tiempo real, incluidos el SMT y la versión 2.0 del </w:t>
            </w:r>
            <w:r w:rsidR="007859F6">
              <w:rPr>
                <w:sz w:val="20"/>
                <w:szCs w:val="20"/>
                <w:lang w:val="es-ES"/>
              </w:rPr>
              <w:t>SIO</w:t>
            </w:r>
          </w:p>
          <w:p w14:paraId="2DF57F00" w14:textId="77777777" w:rsidR="00712633" w:rsidRPr="005561DB" w:rsidRDefault="00712633" w:rsidP="00FB7E6A">
            <w:pPr>
              <w:keepNext/>
              <w:keepLines/>
              <w:numPr>
                <w:ilvl w:val="0"/>
                <w:numId w:val="24"/>
              </w:numPr>
              <w:spacing w:after="60"/>
              <w:textAlignment w:val="baseline"/>
              <w:rPr>
                <w:rFonts w:eastAsia="Times New Roman" w:cs="Segoe UI"/>
                <w:color w:val="auto"/>
                <w:sz w:val="20"/>
                <w:szCs w:val="20"/>
                <w:lang w:val="es-ES"/>
              </w:rPr>
            </w:pPr>
            <w:r w:rsidRPr="005561DB">
              <w:rPr>
                <w:sz w:val="20"/>
                <w:szCs w:val="20"/>
                <w:lang w:val="es-ES"/>
              </w:rPr>
              <w:t>Descripción detallada del diseño de la infraestructura y los servicios de tecnología de la información y las comunicaciones</w:t>
            </w:r>
          </w:p>
          <w:p w14:paraId="3E15DCC5" w14:textId="77777777" w:rsidR="00712633" w:rsidRPr="005561DB" w:rsidRDefault="00712633" w:rsidP="00FB7E6A">
            <w:pPr>
              <w:keepNext/>
              <w:keepLines/>
              <w:numPr>
                <w:ilvl w:val="0"/>
                <w:numId w:val="24"/>
              </w:numPr>
              <w:spacing w:after="60"/>
              <w:textAlignment w:val="baseline"/>
              <w:rPr>
                <w:rFonts w:eastAsia="Times New Roman" w:cs="Segoe UI"/>
                <w:color w:val="auto"/>
                <w:sz w:val="20"/>
                <w:szCs w:val="20"/>
                <w:lang w:val="es-ES"/>
              </w:rPr>
            </w:pPr>
            <w:r w:rsidRPr="005561DB">
              <w:rPr>
                <w:sz w:val="20"/>
                <w:szCs w:val="20"/>
                <w:lang w:val="es-ES"/>
              </w:rPr>
              <w:t>Especificaciones técnicas del sistema de recopilación de datos desde la estación de observaciones hasta el punto de recopilación</w:t>
            </w:r>
          </w:p>
          <w:p w14:paraId="67C34D20" w14:textId="352EEF06" w:rsidR="00712633" w:rsidRPr="005561DB" w:rsidRDefault="00712633" w:rsidP="00FB7E6A">
            <w:pPr>
              <w:keepNext/>
              <w:keepLines/>
              <w:numPr>
                <w:ilvl w:val="0"/>
                <w:numId w:val="24"/>
              </w:numPr>
              <w:spacing w:after="60"/>
              <w:textAlignment w:val="baseline"/>
              <w:rPr>
                <w:rFonts w:eastAsia="Times New Roman" w:cs="Segoe UI"/>
                <w:color w:val="auto"/>
                <w:sz w:val="20"/>
                <w:szCs w:val="20"/>
                <w:lang w:val="es-ES"/>
              </w:rPr>
            </w:pPr>
            <w:r w:rsidRPr="005561DB">
              <w:rPr>
                <w:sz w:val="20"/>
                <w:szCs w:val="20"/>
                <w:lang w:val="es-ES"/>
              </w:rPr>
              <w:t xml:space="preserve">Especificaciones técnicas de los servicios de datos (compatibles con los requisitos de la versión 2.0 del </w:t>
            </w:r>
            <w:r w:rsidR="007859F6">
              <w:rPr>
                <w:sz w:val="20"/>
                <w:szCs w:val="20"/>
                <w:lang w:val="es-ES"/>
              </w:rPr>
              <w:t>SIO</w:t>
            </w:r>
            <w:r w:rsidRPr="005561DB">
              <w:rPr>
                <w:sz w:val="20"/>
                <w:szCs w:val="20"/>
                <w:lang w:val="es-ES"/>
              </w:rPr>
              <w:t>)</w:t>
            </w:r>
          </w:p>
          <w:p w14:paraId="4A72C37A" w14:textId="6A78F4D9" w:rsidR="00712633" w:rsidRPr="005561DB" w:rsidRDefault="00712633" w:rsidP="00FB7E6A">
            <w:pPr>
              <w:keepNext/>
              <w:keepLines/>
              <w:numPr>
                <w:ilvl w:val="0"/>
                <w:numId w:val="24"/>
              </w:numPr>
              <w:spacing w:after="60"/>
              <w:textAlignment w:val="baseline"/>
              <w:rPr>
                <w:rFonts w:eastAsia="Times New Roman" w:cs="Segoe UI"/>
                <w:color w:val="auto"/>
                <w:sz w:val="20"/>
                <w:szCs w:val="20"/>
                <w:lang w:val="es-ES"/>
              </w:rPr>
            </w:pPr>
            <w:r w:rsidRPr="005561DB">
              <w:rPr>
                <w:sz w:val="20"/>
                <w:szCs w:val="20"/>
                <w:lang w:val="es-ES"/>
              </w:rPr>
              <w:t>Descripción detallada de las medidas destinadas a garantizar la resiliencia y la continuidad de toda la cadena de</w:t>
            </w:r>
            <w:r w:rsidR="00903AF8">
              <w:rPr>
                <w:sz w:val="20"/>
                <w:szCs w:val="20"/>
                <w:lang w:val="es-ES"/>
              </w:rPr>
              <w:t>l</w:t>
            </w:r>
            <w:r w:rsidRPr="005561DB">
              <w:rPr>
                <w:sz w:val="20"/>
                <w:szCs w:val="20"/>
                <w:lang w:val="es-ES"/>
              </w:rPr>
              <w:t xml:space="preserve"> proceso de datos</w:t>
            </w:r>
          </w:p>
        </w:tc>
        <w:tc>
          <w:tcPr>
            <w:tcW w:w="1903" w:type="pct"/>
            <w:tcBorders>
              <w:top w:val="single" w:sz="4" w:space="0" w:color="808080"/>
              <w:left w:val="single" w:sz="4" w:space="0" w:color="808080"/>
              <w:bottom w:val="single" w:sz="4" w:space="0" w:color="808080"/>
              <w:right w:val="single" w:sz="4" w:space="0" w:color="808080"/>
            </w:tcBorders>
            <w:shd w:val="clear" w:color="auto" w:fill="auto"/>
          </w:tcPr>
          <w:p w14:paraId="2FC20D04" w14:textId="0068081C" w:rsidR="002C0996" w:rsidRPr="005561DB" w:rsidRDefault="002C0996" w:rsidP="00FB7E6A">
            <w:pPr>
              <w:keepNext/>
              <w:keepLines/>
              <w:spacing w:after="60"/>
              <w:rPr>
                <w:sz w:val="20"/>
                <w:szCs w:val="20"/>
                <w:lang w:val="es-ES"/>
              </w:rPr>
            </w:pPr>
            <w:r w:rsidRPr="005561DB">
              <w:rPr>
                <w:i/>
                <w:iCs/>
                <w:sz w:val="20"/>
                <w:szCs w:val="20"/>
                <w:lang w:val="es-ES"/>
              </w:rPr>
              <w:t>Manual de claves</w:t>
            </w:r>
            <w:r w:rsidRPr="005561DB">
              <w:rPr>
                <w:sz w:val="20"/>
                <w:szCs w:val="20"/>
                <w:lang w:val="es-ES"/>
              </w:rPr>
              <w:t xml:space="preserve"> (OMM-Nº 306), volúmenes </w:t>
            </w:r>
            <w:hyperlink r:id="rId48" w:history="1">
              <w:r w:rsidRPr="00A525FF">
                <w:rPr>
                  <w:rStyle w:val="Hyperlink"/>
                  <w:i/>
                  <w:iCs/>
                  <w:sz w:val="20"/>
                  <w:szCs w:val="20"/>
                  <w:lang w:val="es-ES"/>
                </w:rPr>
                <w:t>I.1</w:t>
              </w:r>
            </w:hyperlink>
            <w:r w:rsidRPr="005561DB">
              <w:rPr>
                <w:sz w:val="20"/>
                <w:szCs w:val="20"/>
                <w:lang w:val="es-ES"/>
              </w:rPr>
              <w:t xml:space="preserve">, </w:t>
            </w:r>
            <w:hyperlink r:id="rId49" w:history="1">
              <w:r w:rsidRPr="00A525FF">
                <w:rPr>
                  <w:rStyle w:val="Hyperlink"/>
                  <w:i/>
                  <w:iCs/>
                  <w:sz w:val="20"/>
                  <w:szCs w:val="20"/>
                  <w:lang w:val="es-ES"/>
                </w:rPr>
                <w:t>I.2</w:t>
              </w:r>
            </w:hyperlink>
            <w:r w:rsidRPr="005561DB">
              <w:rPr>
                <w:sz w:val="20"/>
                <w:szCs w:val="20"/>
                <w:lang w:val="es-ES"/>
              </w:rPr>
              <w:t xml:space="preserve"> e </w:t>
            </w:r>
            <w:hyperlink r:id="rId50" w:history="1">
              <w:r w:rsidRPr="00A525FF">
                <w:rPr>
                  <w:rStyle w:val="Hyperlink"/>
                  <w:i/>
                  <w:iCs/>
                  <w:sz w:val="20"/>
                  <w:szCs w:val="20"/>
                  <w:lang w:val="es-ES"/>
                </w:rPr>
                <w:t>I.3</w:t>
              </w:r>
            </w:hyperlink>
          </w:p>
          <w:p w14:paraId="427A294C" w14:textId="77777777" w:rsidR="002C0996" w:rsidRPr="005561DB" w:rsidRDefault="002C0996" w:rsidP="00FB7E6A">
            <w:pPr>
              <w:keepNext/>
              <w:keepLines/>
              <w:spacing w:after="60"/>
              <w:rPr>
                <w:sz w:val="20"/>
                <w:szCs w:val="20"/>
                <w:lang w:val="es-ES"/>
              </w:rPr>
            </w:pPr>
          </w:p>
          <w:p w14:paraId="638F1017" w14:textId="1CFD2FAC" w:rsidR="002C0996" w:rsidRPr="005561DB" w:rsidRDefault="008C2CFE" w:rsidP="00FB7E6A">
            <w:pPr>
              <w:keepNext/>
              <w:keepLines/>
              <w:spacing w:after="60"/>
              <w:rPr>
                <w:rFonts w:eastAsia="Segoe UI" w:cs="Segoe UI"/>
                <w:color w:val="auto"/>
                <w:sz w:val="20"/>
                <w:szCs w:val="20"/>
                <w:lang w:val="es-ES"/>
              </w:rPr>
            </w:pPr>
            <w:hyperlink r:id="rId51" w:history="1">
              <w:r w:rsidR="00D00C61" w:rsidRPr="00FF2208">
                <w:rPr>
                  <w:rStyle w:val="Hyperlink"/>
                  <w:i/>
                  <w:iCs/>
                  <w:sz w:val="20"/>
                  <w:szCs w:val="20"/>
                  <w:lang w:val="es-ES"/>
                </w:rPr>
                <w:t>Manual del Sistema de información de la OMM</w:t>
              </w:r>
            </w:hyperlink>
            <w:r w:rsidR="00D00C61" w:rsidRPr="005561DB">
              <w:rPr>
                <w:sz w:val="20"/>
                <w:szCs w:val="20"/>
                <w:lang w:val="es-ES"/>
              </w:rPr>
              <w:t xml:space="preserve"> </w:t>
            </w:r>
            <w:r w:rsidR="006330D5">
              <w:rPr>
                <w:sz w:val="20"/>
                <w:szCs w:val="20"/>
                <w:lang w:val="es-ES"/>
              </w:rPr>
              <w:br/>
            </w:r>
            <w:r w:rsidR="00D00C61" w:rsidRPr="005561DB">
              <w:rPr>
                <w:sz w:val="20"/>
                <w:szCs w:val="20"/>
                <w:lang w:val="es-ES"/>
              </w:rPr>
              <w:t>(OMM-Nº 1060)</w:t>
            </w:r>
          </w:p>
          <w:p w14:paraId="02692723" w14:textId="77777777" w:rsidR="002C0996" w:rsidRPr="005561DB" w:rsidRDefault="002C0996" w:rsidP="00FB7E6A">
            <w:pPr>
              <w:keepNext/>
              <w:keepLines/>
              <w:spacing w:after="60"/>
              <w:rPr>
                <w:rFonts w:eastAsia="Segoe UI" w:cs="Segoe UI"/>
                <w:color w:val="auto"/>
                <w:sz w:val="20"/>
                <w:szCs w:val="20"/>
                <w:lang w:val="es-ES"/>
              </w:rPr>
            </w:pPr>
          </w:p>
          <w:p w14:paraId="170F28F5" w14:textId="1527EA6D" w:rsidR="002C0996" w:rsidRPr="005561DB" w:rsidRDefault="008C2CFE" w:rsidP="00FB7E6A">
            <w:pPr>
              <w:keepNext/>
              <w:keepLines/>
              <w:spacing w:after="60"/>
              <w:rPr>
                <w:rFonts w:eastAsia="Segoe UI" w:cs="Segoe UI"/>
                <w:color w:val="auto"/>
                <w:sz w:val="20"/>
                <w:szCs w:val="20"/>
                <w:lang w:val="es-ES"/>
              </w:rPr>
            </w:pPr>
            <w:hyperlink r:id="rId52" w:history="1">
              <w:r w:rsidR="00D00C61" w:rsidRPr="00FF2208">
                <w:rPr>
                  <w:rStyle w:val="Hyperlink"/>
                  <w:i/>
                  <w:iCs/>
                  <w:sz w:val="20"/>
                  <w:szCs w:val="20"/>
                  <w:lang w:val="es-ES"/>
                </w:rPr>
                <w:t>Manual del Sistema Mundial de Telecomunicación</w:t>
              </w:r>
            </w:hyperlink>
            <w:r w:rsidR="00D00C61" w:rsidRPr="005561DB">
              <w:rPr>
                <w:sz w:val="20"/>
                <w:szCs w:val="20"/>
                <w:lang w:val="es-ES"/>
              </w:rPr>
              <w:t xml:space="preserve"> (OMM-Nº 386)</w:t>
            </w:r>
          </w:p>
          <w:p w14:paraId="3BA2FE2C" w14:textId="77777777" w:rsidR="00712633" w:rsidRPr="005561DB" w:rsidRDefault="00712633" w:rsidP="00FB7E6A">
            <w:pPr>
              <w:keepNext/>
              <w:keepLines/>
              <w:spacing w:after="60"/>
              <w:rPr>
                <w:rFonts w:eastAsia="Segoe UI" w:cs="Segoe UI"/>
                <w:color w:val="auto"/>
                <w:sz w:val="20"/>
                <w:szCs w:val="20"/>
                <w:lang w:val="es-ES"/>
              </w:rPr>
            </w:pPr>
          </w:p>
          <w:p w14:paraId="76FDAD2E" w14:textId="2BB4430F" w:rsidR="00712633" w:rsidRPr="005561DB" w:rsidRDefault="00712633" w:rsidP="00FB7E6A">
            <w:pPr>
              <w:keepNext/>
              <w:keepLines/>
              <w:spacing w:after="60"/>
              <w:rPr>
                <w:rFonts w:eastAsia="Segoe UI" w:cs="Segoe UI"/>
                <w:color w:val="auto"/>
                <w:sz w:val="20"/>
                <w:szCs w:val="20"/>
                <w:lang w:val="es-ES"/>
              </w:rPr>
            </w:pPr>
            <w:r w:rsidRPr="005561DB">
              <w:rPr>
                <w:sz w:val="20"/>
                <w:szCs w:val="20"/>
                <w:lang w:val="es-ES"/>
              </w:rPr>
              <w:t xml:space="preserve">Requisitos de la versión 2.0 del </w:t>
            </w:r>
            <w:r w:rsidR="00FF2208">
              <w:rPr>
                <w:sz w:val="20"/>
                <w:szCs w:val="20"/>
                <w:lang w:val="es-ES"/>
              </w:rPr>
              <w:t xml:space="preserve">SIO </w:t>
            </w:r>
            <w:hyperlink r:id="rId53" w:history="1">
              <w:r w:rsidRPr="006330D5">
                <w:rPr>
                  <w:rStyle w:val="Hyperlink"/>
                  <w:sz w:val="20"/>
                  <w:szCs w:val="20"/>
                  <w:lang w:val="es-ES"/>
                </w:rPr>
                <w:t>http://docs</w:t>
              </w:r>
              <w:r w:rsidRPr="006330D5">
                <w:rPr>
                  <w:rStyle w:val="Hyperlink"/>
                  <w:sz w:val="20"/>
                  <w:szCs w:val="20"/>
                  <w:lang w:val="es-ES"/>
                </w:rPr>
                <w:t>.</w:t>
              </w:r>
              <w:r w:rsidRPr="006330D5">
                <w:rPr>
                  <w:rStyle w:val="Hyperlink"/>
                  <w:sz w:val="20"/>
                  <w:szCs w:val="20"/>
                  <w:lang w:val="es-ES"/>
                </w:rPr>
                <w:t>wis2box.wis.wmo.int</w:t>
              </w:r>
            </w:hyperlink>
          </w:p>
        </w:tc>
      </w:tr>
      <w:tr w:rsidR="00D00E55" w:rsidRPr="005561DB" w14:paraId="6869644C" w14:textId="77777777" w:rsidTr="007857F2">
        <w:tc>
          <w:tcPr>
            <w:tcW w:w="513" w:type="pct"/>
            <w:tcBorders>
              <w:top w:val="single" w:sz="4" w:space="0" w:color="808080"/>
              <w:left w:val="single" w:sz="4" w:space="0" w:color="808080"/>
              <w:bottom w:val="single" w:sz="4" w:space="0" w:color="808080"/>
              <w:right w:val="single" w:sz="4" w:space="0" w:color="808080"/>
            </w:tcBorders>
            <w:shd w:val="clear" w:color="auto" w:fill="auto"/>
          </w:tcPr>
          <w:p w14:paraId="2E1EEC12" w14:textId="77777777" w:rsidR="00712633" w:rsidRPr="005561DB" w:rsidRDefault="00712633" w:rsidP="00FB7E6A">
            <w:pPr>
              <w:spacing w:after="60"/>
              <w:rPr>
                <w:rFonts w:eastAsia="Segoe UI" w:cs="Segoe UI"/>
                <w:color w:val="auto"/>
                <w:sz w:val="20"/>
                <w:szCs w:val="20"/>
              </w:rPr>
            </w:pPr>
            <w:r w:rsidRPr="005561DB">
              <w:rPr>
                <w:sz w:val="20"/>
                <w:szCs w:val="20"/>
                <w:lang w:val="es-ES"/>
              </w:rPr>
              <w:t>3.3</w:t>
            </w:r>
          </w:p>
        </w:tc>
        <w:tc>
          <w:tcPr>
            <w:tcW w:w="956" w:type="pct"/>
            <w:tcBorders>
              <w:top w:val="single" w:sz="4" w:space="0" w:color="808080"/>
              <w:left w:val="single" w:sz="4" w:space="0" w:color="808080"/>
              <w:bottom w:val="single" w:sz="4" w:space="0" w:color="808080"/>
              <w:right w:val="single" w:sz="4" w:space="0" w:color="808080"/>
            </w:tcBorders>
            <w:shd w:val="clear" w:color="auto" w:fill="auto"/>
          </w:tcPr>
          <w:p w14:paraId="73532E00" w14:textId="77777777" w:rsidR="00712633" w:rsidRPr="005561DB" w:rsidRDefault="00712633" w:rsidP="00FB7E6A">
            <w:pPr>
              <w:spacing w:after="60"/>
              <w:rPr>
                <w:rFonts w:eastAsia="Segoe UI" w:cs="Segoe UI"/>
                <w:color w:val="auto"/>
                <w:sz w:val="20"/>
                <w:szCs w:val="20"/>
                <w:lang w:val="es-ES"/>
              </w:rPr>
            </w:pPr>
            <w:r w:rsidRPr="005561DB">
              <w:rPr>
                <w:sz w:val="20"/>
                <w:szCs w:val="20"/>
                <w:lang w:val="es-ES"/>
              </w:rPr>
              <w:t>Diseño del sistema de gestión de datos</w:t>
            </w:r>
          </w:p>
        </w:tc>
        <w:tc>
          <w:tcPr>
            <w:tcW w:w="1627" w:type="pct"/>
            <w:tcBorders>
              <w:top w:val="single" w:sz="4" w:space="0" w:color="808080"/>
              <w:left w:val="single" w:sz="4" w:space="0" w:color="808080"/>
              <w:bottom w:val="single" w:sz="4" w:space="0" w:color="808080"/>
              <w:right w:val="single" w:sz="4" w:space="0" w:color="808080"/>
            </w:tcBorders>
            <w:shd w:val="clear" w:color="auto" w:fill="auto"/>
          </w:tcPr>
          <w:p w14:paraId="5918B06E" w14:textId="77777777" w:rsidR="00712633" w:rsidRPr="005561DB" w:rsidRDefault="00712633" w:rsidP="00FB7E6A">
            <w:pPr>
              <w:numPr>
                <w:ilvl w:val="0"/>
                <w:numId w:val="11"/>
              </w:numPr>
              <w:spacing w:after="60"/>
              <w:rPr>
                <w:rFonts w:eastAsia="Yu Mincho"/>
                <w:color w:val="auto"/>
                <w:sz w:val="20"/>
                <w:szCs w:val="20"/>
              </w:rPr>
            </w:pPr>
            <w:r w:rsidRPr="005561DB">
              <w:rPr>
                <w:sz w:val="20"/>
                <w:szCs w:val="20"/>
                <w:lang w:val="es-ES"/>
              </w:rPr>
              <w:t xml:space="preserve">Los requisitos del sistema de gestión de datos deben proporcionar acceso a los datos utilizados por las aplicaciones observacionales en tiempo real, así como la capacidad de enviar datos a un sistema de </w:t>
            </w:r>
            <w:r w:rsidRPr="005561DB">
              <w:rPr>
                <w:sz w:val="20"/>
                <w:szCs w:val="20"/>
                <w:lang w:val="es-ES"/>
              </w:rPr>
              <w:lastRenderedPageBreak/>
              <w:t>gestión de datos climáticos (CDMS) para su archivo a largo plazo. El sistema debe proporcionar</w:t>
            </w:r>
          </w:p>
          <w:p w14:paraId="233564AC" w14:textId="77777777" w:rsidR="00712633" w:rsidRPr="005561DB" w:rsidRDefault="00712633" w:rsidP="00FB7E6A">
            <w:pPr>
              <w:numPr>
                <w:ilvl w:val="0"/>
                <w:numId w:val="25"/>
              </w:numPr>
              <w:spacing w:after="60"/>
              <w:rPr>
                <w:rFonts w:eastAsia="Calibri"/>
                <w:color w:val="auto"/>
                <w:sz w:val="20"/>
                <w:szCs w:val="20"/>
                <w:lang w:val="es-ES"/>
              </w:rPr>
            </w:pPr>
            <w:r w:rsidRPr="005561DB">
              <w:rPr>
                <w:sz w:val="20"/>
                <w:szCs w:val="20"/>
                <w:lang w:val="es-ES"/>
              </w:rPr>
              <w:t>Almacenamiento y acceso a los datos a corto plazo a través de los servicios y protocolos que precisan las aplicaciones para las actividades operacionales nacionales e internacionales.</w:t>
            </w:r>
          </w:p>
          <w:p w14:paraId="5263E5DD" w14:textId="672F7B82" w:rsidR="00712633" w:rsidRPr="005561DB" w:rsidRDefault="00A844B8" w:rsidP="00FB7E6A">
            <w:pPr>
              <w:numPr>
                <w:ilvl w:val="0"/>
                <w:numId w:val="25"/>
              </w:numPr>
              <w:spacing w:after="60"/>
              <w:rPr>
                <w:rFonts w:eastAsia="Calibri"/>
                <w:color w:val="auto"/>
                <w:sz w:val="20"/>
                <w:szCs w:val="20"/>
                <w:lang w:val="es-ES"/>
              </w:rPr>
            </w:pPr>
            <w:r w:rsidRPr="005561DB">
              <w:rPr>
                <w:sz w:val="20"/>
                <w:szCs w:val="20"/>
                <w:lang w:val="es-ES"/>
              </w:rPr>
              <w:t xml:space="preserve">Intercambio de datos </w:t>
            </w:r>
            <w:proofErr w:type="spellStart"/>
            <w:r w:rsidRPr="005561DB">
              <w:rPr>
                <w:sz w:val="20"/>
                <w:szCs w:val="20"/>
                <w:lang w:val="es-ES"/>
              </w:rPr>
              <w:t>hacia</w:t>
            </w:r>
            <w:proofErr w:type="spellEnd"/>
            <w:r w:rsidRPr="005561DB">
              <w:rPr>
                <w:sz w:val="20"/>
                <w:szCs w:val="20"/>
                <w:lang w:val="es-ES"/>
              </w:rPr>
              <w:t xml:space="preserve">, o desde, el SIO/SMT, la versión 2.0 del </w:t>
            </w:r>
            <w:r w:rsidR="004866B8">
              <w:rPr>
                <w:sz w:val="20"/>
                <w:szCs w:val="20"/>
                <w:lang w:val="es-ES"/>
              </w:rPr>
              <w:t>SIO</w:t>
            </w:r>
            <w:r w:rsidRPr="005561DB">
              <w:rPr>
                <w:sz w:val="20"/>
                <w:szCs w:val="20"/>
                <w:lang w:val="es-ES"/>
              </w:rPr>
              <w:t xml:space="preserve"> y otras fuentes nacionales o internacionales necesarias para las actividades operacionales.</w:t>
            </w:r>
          </w:p>
          <w:p w14:paraId="5D761EC8" w14:textId="77777777" w:rsidR="00712633" w:rsidRPr="005561DB" w:rsidRDefault="00712633" w:rsidP="00FB7E6A">
            <w:pPr>
              <w:numPr>
                <w:ilvl w:val="0"/>
                <w:numId w:val="25"/>
              </w:numPr>
              <w:spacing w:after="60"/>
              <w:rPr>
                <w:rFonts w:eastAsia="Calibri"/>
                <w:color w:val="auto"/>
                <w:sz w:val="20"/>
                <w:szCs w:val="20"/>
                <w:lang w:val="es-ES"/>
              </w:rPr>
            </w:pPr>
            <w:r w:rsidRPr="005561DB">
              <w:rPr>
                <w:sz w:val="20"/>
                <w:szCs w:val="20"/>
                <w:lang w:val="es-ES"/>
              </w:rPr>
              <w:t>Envío de datos al CDMS nacional</w:t>
            </w:r>
          </w:p>
          <w:p w14:paraId="1787D426" w14:textId="77777777" w:rsidR="00712633" w:rsidRPr="005561DB" w:rsidRDefault="00712633" w:rsidP="00FB7E6A">
            <w:pPr>
              <w:numPr>
                <w:ilvl w:val="0"/>
                <w:numId w:val="25"/>
              </w:numPr>
              <w:spacing w:after="60"/>
              <w:rPr>
                <w:rFonts w:eastAsia="Calibri"/>
                <w:color w:val="auto"/>
                <w:sz w:val="20"/>
                <w:szCs w:val="20"/>
                <w:lang w:val="es-ES"/>
              </w:rPr>
            </w:pPr>
            <w:r w:rsidRPr="005561DB">
              <w:rPr>
                <w:sz w:val="20"/>
                <w:szCs w:val="20"/>
                <w:lang w:val="es-ES"/>
              </w:rPr>
              <w:t>Gestión de metadatos descriptivos y de localización</w:t>
            </w:r>
          </w:p>
          <w:p w14:paraId="50E26216" w14:textId="77777777" w:rsidR="00712633" w:rsidRPr="005561DB" w:rsidRDefault="00712633" w:rsidP="00FB7E6A">
            <w:pPr>
              <w:numPr>
                <w:ilvl w:val="0"/>
                <w:numId w:val="25"/>
              </w:numPr>
              <w:spacing w:after="60"/>
              <w:rPr>
                <w:rFonts w:eastAsia="Calibri"/>
                <w:color w:val="auto"/>
                <w:sz w:val="20"/>
                <w:szCs w:val="20"/>
                <w:lang w:val="es-ES"/>
              </w:rPr>
            </w:pPr>
            <w:r w:rsidRPr="005561DB">
              <w:rPr>
                <w:sz w:val="20"/>
                <w:szCs w:val="20"/>
                <w:lang w:val="es-ES"/>
              </w:rPr>
              <w:t>Control de datos, procesos y servicios</w:t>
            </w:r>
          </w:p>
        </w:tc>
        <w:tc>
          <w:tcPr>
            <w:tcW w:w="1903" w:type="pct"/>
            <w:tcBorders>
              <w:top w:val="single" w:sz="4" w:space="0" w:color="808080"/>
              <w:left w:val="single" w:sz="4" w:space="0" w:color="808080"/>
              <w:bottom w:val="single" w:sz="4" w:space="0" w:color="808080"/>
              <w:right w:val="single" w:sz="4" w:space="0" w:color="808080"/>
            </w:tcBorders>
            <w:shd w:val="clear" w:color="auto" w:fill="auto"/>
          </w:tcPr>
          <w:p w14:paraId="17D9CD3F" w14:textId="3D7D5F34" w:rsidR="00712633" w:rsidRPr="005561DB" w:rsidRDefault="008C2CFE" w:rsidP="00FB7E6A">
            <w:pPr>
              <w:spacing w:after="60"/>
              <w:rPr>
                <w:rFonts w:eastAsia="Segoe UI" w:cs="Segoe UI"/>
                <w:color w:val="auto"/>
                <w:sz w:val="20"/>
                <w:szCs w:val="20"/>
                <w:lang w:val="es-ES"/>
              </w:rPr>
            </w:pPr>
            <w:hyperlink r:id="rId54" w:history="1">
              <w:r w:rsidR="00D00C61" w:rsidRPr="00E91986">
                <w:rPr>
                  <w:rStyle w:val="Hyperlink"/>
                  <w:i/>
                  <w:iCs/>
                  <w:sz w:val="20"/>
                  <w:szCs w:val="20"/>
                  <w:lang w:val="es-ES"/>
                </w:rPr>
                <w:t>Manual del Sistema Mundial Integr</w:t>
              </w:r>
              <w:r w:rsidR="00D00C61" w:rsidRPr="00E91986">
                <w:rPr>
                  <w:rStyle w:val="Hyperlink"/>
                  <w:i/>
                  <w:iCs/>
                  <w:sz w:val="20"/>
                  <w:szCs w:val="20"/>
                  <w:lang w:val="es-ES"/>
                </w:rPr>
                <w:t>a</w:t>
              </w:r>
              <w:r w:rsidR="00D00C61" w:rsidRPr="00E91986">
                <w:rPr>
                  <w:rStyle w:val="Hyperlink"/>
                  <w:i/>
                  <w:iCs/>
                  <w:sz w:val="20"/>
                  <w:szCs w:val="20"/>
                  <w:lang w:val="es-ES"/>
                </w:rPr>
                <w:t>do de Sistemas de Observación de la OMM</w:t>
              </w:r>
            </w:hyperlink>
            <w:r w:rsidR="00D00C61" w:rsidRPr="005561DB">
              <w:rPr>
                <w:sz w:val="20"/>
                <w:szCs w:val="20"/>
                <w:lang w:val="es-ES"/>
              </w:rPr>
              <w:t xml:space="preserve"> </w:t>
            </w:r>
            <w:r w:rsidR="006330D5">
              <w:rPr>
                <w:sz w:val="20"/>
                <w:szCs w:val="20"/>
                <w:lang w:val="es-ES"/>
              </w:rPr>
              <w:br/>
            </w:r>
            <w:r w:rsidR="00D00C61" w:rsidRPr="005561DB">
              <w:rPr>
                <w:sz w:val="20"/>
                <w:szCs w:val="20"/>
                <w:lang w:val="es-ES"/>
              </w:rPr>
              <w:t>(OMM-Nº 1160)</w:t>
            </w:r>
          </w:p>
          <w:p w14:paraId="19A3A8E7" w14:textId="77777777" w:rsidR="00712633" w:rsidRPr="005561DB" w:rsidRDefault="00712633" w:rsidP="00FB7E6A">
            <w:pPr>
              <w:spacing w:after="60"/>
              <w:rPr>
                <w:rFonts w:eastAsia="Segoe UI" w:cs="Segoe UI"/>
                <w:color w:val="auto"/>
                <w:sz w:val="20"/>
                <w:szCs w:val="20"/>
                <w:lang w:val="es-ES"/>
              </w:rPr>
            </w:pPr>
          </w:p>
          <w:p w14:paraId="3693768B" w14:textId="2259FFA2" w:rsidR="00B36CD8" w:rsidRPr="005561DB" w:rsidRDefault="00B36CD8" w:rsidP="00FB7E6A">
            <w:pPr>
              <w:spacing w:after="60"/>
              <w:rPr>
                <w:sz w:val="20"/>
                <w:szCs w:val="20"/>
                <w:lang w:val="es-ES"/>
              </w:rPr>
            </w:pPr>
            <w:r w:rsidRPr="005561DB">
              <w:rPr>
                <w:i/>
                <w:iCs/>
                <w:sz w:val="20"/>
                <w:szCs w:val="20"/>
                <w:lang w:val="es-ES"/>
              </w:rPr>
              <w:t>Manual de claves</w:t>
            </w:r>
            <w:r w:rsidRPr="005561DB">
              <w:rPr>
                <w:sz w:val="20"/>
                <w:szCs w:val="20"/>
                <w:lang w:val="es-ES"/>
              </w:rPr>
              <w:t xml:space="preserve"> (OMM-Nº 306), volúmenes </w:t>
            </w:r>
            <w:hyperlink r:id="rId55" w:history="1">
              <w:r w:rsidRPr="00E91986">
                <w:rPr>
                  <w:rStyle w:val="Hyperlink"/>
                  <w:i/>
                  <w:iCs/>
                  <w:sz w:val="20"/>
                  <w:szCs w:val="20"/>
                  <w:lang w:val="es-ES"/>
                </w:rPr>
                <w:t>I.1</w:t>
              </w:r>
            </w:hyperlink>
            <w:r w:rsidRPr="005561DB">
              <w:rPr>
                <w:sz w:val="20"/>
                <w:szCs w:val="20"/>
                <w:lang w:val="es-ES"/>
              </w:rPr>
              <w:t xml:space="preserve">, </w:t>
            </w:r>
            <w:hyperlink r:id="rId56" w:history="1">
              <w:r w:rsidRPr="00E91986">
                <w:rPr>
                  <w:rStyle w:val="Hyperlink"/>
                  <w:i/>
                  <w:iCs/>
                  <w:sz w:val="20"/>
                  <w:szCs w:val="20"/>
                  <w:lang w:val="es-ES"/>
                </w:rPr>
                <w:t>I.2</w:t>
              </w:r>
            </w:hyperlink>
            <w:r w:rsidRPr="005561DB">
              <w:rPr>
                <w:sz w:val="20"/>
                <w:szCs w:val="20"/>
                <w:lang w:val="es-ES"/>
              </w:rPr>
              <w:t xml:space="preserve"> e </w:t>
            </w:r>
            <w:hyperlink r:id="rId57" w:history="1">
              <w:r w:rsidRPr="00E91986">
                <w:rPr>
                  <w:rStyle w:val="Hyperlink"/>
                  <w:i/>
                  <w:iCs/>
                  <w:sz w:val="20"/>
                  <w:szCs w:val="20"/>
                  <w:lang w:val="es-ES"/>
                </w:rPr>
                <w:t>I.3</w:t>
              </w:r>
            </w:hyperlink>
          </w:p>
          <w:p w14:paraId="5237770E" w14:textId="77777777" w:rsidR="00B36CD8" w:rsidRPr="005561DB" w:rsidRDefault="00B36CD8" w:rsidP="00FB7E6A">
            <w:pPr>
              <w:spacing w:after="60"/>
              <w:rPr>
                <w:sz w:val="20"/>
                <w:szCs w:val="20"/>
                <w:lang w:val="es-ES"/>
              </w:rPr>
            </w:pPr>
          </w:p>
          <w:p w14:paraId="34DF35A5" w14:textId="0DBA360B" w:rsidR="00B36CD8" w:rsidRPr="005561DB" w:rsidRDefault="008C2CFE" w:rsidP="00FB7E6A">
            <w:pPr>
              <w:spacing w:after="60"/>
              <w:rPr>
                <w:rFonts w:eastAsia="Segoe UI" w:cs="Segoe UI"/>
                <w:color w:val="auto"/>
                <w:sz w:val="20"/>
                <w:szCs w:val="20"/>
                <w:lang w:val="es-ES"/>
              </w:rPr>
            </w:pPr>
            <w:hyperlink r:id="rId58" w:history="1">
              <w:r w:rsidR="00D00C61" w:rsidRPr="001F1045">
                <w:rPr>
                  <w:rStyle w:val="Hyperlink"/>
                  <w:i/>
                  <w:iCs/>
                  <w:sz w:val="20"/>
                  <w:szCs w:val="20"/>
                  <w:lang w:val="es-ES"/>
                </w:rPr>
                <w:t>Manual del Sistema de información de la OMM</w:t>
              </w:r>
            </w:hyperlink>
            <w:r w:rsidR="00D00C61" w:rsidRPr="005561DB">
              <w:rPr>
                <w:sz w:val="20"/>
                <w:szCs w:val="20"/>
                <w:lang w:val="es-ES"/>
              </w:rPr>
              <w:t xml:space="preserve"> </w:t>
            </w:r>
            <w:r w:rsidR="006330D5">
              <w:rPr>
                <w:sz w:val="20"/>
                <w:szCs w:val="20"/>
                <w:lang w:val="es-ES"/>
              </w:rPr>
              <w:br/>
            </w:r>
            <w:r w:rsidR="00D00C61" w:rsidRPr="005561DB">
              <w:rPr>
                <w:sz w:val="20"/>
                <w:szCs w:val="20"/>
                <w:lang w:val="es-ES"/>
              </w:rPr>
              <w:t>(OMM-Nº 1060)</w:t>
            </w:r>
          </w:p>
          <w:p w14:paraId="7219C172" w14:textId="77777777" w:rsidR="00B36CD8" w:rsidRPr="005561DB" w:rsidRDefault="00B36CD8" w:rsidP="00FB7E6A">
            <w:pPr>
              <w:spacing w:after="60"/>
              <w:rPr>
                <w:rFonts w:eastAsia="Segoe UI" w:cs="Segoe UI"/>
                <w:color w:val="auto"/>
                <w:sz w:val="20"/>
                <w:szCs w:val="20"/>
                <w:lang w:val="es-ES"/>
              </w:rPr>
            </w:pPr>
          </w:p>
          <w:p w14:paraId="611F2FB1" w14:textId="3E635F17" w:rsidR="00712633" w:rsidRPr="005561DB" w:rsidRDefault="008C2CFE" w:rsidP="00FB7E6A">
            <w:pPr>
              <w:spacing w:after="60"/>
              <w:rPr>
                <w:rFonts w:eastAsia="Segoe UI" w:cs="Segoe UI"/>
                <w:color w:val="auto"/>
                <w:sz w:val="20"/>
                <w:szCs w:val="20"/>
                <w:lang w:val="es-ES"/>
              </w:rPr>
            </w:pPr>
            <w:hyperlink r:id="rId59" w:history="1">
              <w:r w:rsidR="00D00C61" w:rsidRPr="001F1045">
                <w:rPr>
                  <w:rStyle w:val="Hyperlink"/>
                  <w:i/>
                  <w:iCs/>
                  <w:sz w:val="20"/>
                  <w:szCs w:val="20"/>
                  <w:lang w:val="es-ES"/>
                </w:rPr>
                <w:t>Manual del Sistema Mundial de Telecomunicación</w:t>
              </w:r>
            </w:hyperlink>
            <w:r w:rsidR="00D00C61" w:rsidRPr="005561DB">
              <w:rPr>
                <w:sz w:val="20"/>
                <w:szCs w:val="20"/>
                <w:lang w:val="es-ES"/>
              </w:rPr>
              <w:t xml:space="preserve"> (OMM-Nº 386)</w:t>
            </w:r>
          </w:p>
          <w:p w14:paraId="04758E1E" w14:textId="77777777" w:rsidR="00712633" w:rsidRPr="005561DB" w:rsidRDefault="00712633" w:rsidP="00FB7E6A">
            <w:pPr>
              <w:spacing w:after="60"/>
              <w:rPr>
                <w:rFonts w:eastAsia="Segoe UI" w:cs="Segoe UI"/>
                <w:color w:val="auto"/>
                <w:sz w:val="20"/>
                <w:szCs w:val="20"/>
                <w:lang w:val="es-ES"/>
              </w:rPr>
            </w:pPr>
          </w:p>
          <w:p w14:paraId="2CD9CF32" w14:textId="08922E7D" w:rsidR="00712633" w:rsidRPr="005561DB" w:rsidRDefault="00D00C61" w:rsidP="00FB7E6A">
            <w:pPr>
              <w:spacing w:after="60"/>
              <w:rPr>
                <w:rFonts w:eastAsia="Segoe UI" w:cs="Segoe UI"/>
                <w:color w:val="auto"/>
                <w:sz w:val="20"/>
                <w:szCs w:val="20"/>
                <w:lang w:val="es-ES"/>
              </w:rPr>
            </w:pPr>
            <w:r w:rsidRPr="00ED5163">
              <w:rPr>
                <w:sz w:val="20"/>
                <w:szCs w:val="20"/>
                <w:lang w:val="en-US"/>
              </w:rPr>
              <w:t xml:space="preserve">La </w:t>
            </w:r>
            <w:proofErr w:type="spellStart"/>
            <w:r w:rsidRPr="00ED5163">
              <w:rPr>
                <w:sz w:val="20"/>
                <w:szCs w:val="20"/>
                <w:lang w:val="en-US"/>
              </w:rPr>
              <w:t>publicación</w:t>
            </w:r>
            <w:proofErr w:type="spellEnd"/>
            <w:r w:rsidRPr="00ED5163">
              <w:rPr>
                <w:sz w:val="20"/>
                <w:szCs w:val="20"/>
                <w:lang w:val="en-US"/>
              </w:rPr>
              <w:t xml:space="preserve"> </w:t>
            </w:r>
            <w:hyperlink r:id="rId60" w:history="1">
              <w:r w:rsidRPr="00ED5163">
                <w:rPr>
                  <w:rStyle w:val="Hyperlink"/>
                  <w:i/>
                  <w:iCs/>
                  <w:sz w:val="20"/>
                  <w:szCs w:val="20"/>
                  <w:lang w:val="en-US"/>
                </w:rPr>
                <w:t>Climate Data Mana</w:t>
              </w:r>
              <w:r w:rsidRPr="00ED5163">
                <w:rPr>
                  <w:rStyle w:val="Hyperlink"/>
                  <w:i/>
                  <w:iCs/>
                  <w:sz w:val="20"/>
                  <w:szCs w:val="20"/>
                  <w:lang w:val="en-US"/>
                </w:rPr>
                <w:t>g</w:t>
              </w:r>
              <w:r w:rsidRPr="00ED5163">
                <w:rPr>
                  <w:rStyle w:val="Hyperlink"/>
                  <w:i/>
                  <w:iCs/>
                  <w:sz w:val="20"/>
                  <w:szCs w:val="20"/>
                  <w:lang w:val="en-US"/>
                </w:rPr>
                <w:t>ement System Specifications</w:t>
              </w:r>
            </w:hyperlink>
            <w:r w:rsidRPr="00ED5163">
              <w:rPr>
                <w:i/>
                <w:iCs/>
                <w:sz w:val="20"/>
                <w:szCs w:val="20"/>
                <w:lang w:val="en-US"/>
              </w:rPr>
              <w:t xml:space="preserve"> </w:t>
            </w:r>
            <w:r w:rsidRPr="00ED5163">
              <w:rPr>
                <w:sz w:val="20"/>
                <w:szCs w:val="20"/>
                <w:lang w:val="en-US"/>
              </w:rPr>
              <w:t xml:space="preserve">(WMO-No. </w:t>
            </w:r>
            <w:r w:rsidRPr="005561DB">
              <w:rPr>
                <w:sz w:val="20"/>
                <w:szCs w:val="20"/>
                <w:lang w:val="es-ES"/>
              </w:rPr>
              <w:t>1131) (Especificaciones del Sistema de Gestión de Datos Climáticos)</w:t>
            </w:r>
          </w:p>
          <w:p w14:paraId="3AEE70C7" w14:textId="77777777" w:rsidR="00712633" w:rsidRPr="005561DB" w:rsidRDefault="00712633" w:rsidP="00FB7E6A">
            <w:pPr>
              <w:spacing w:after="60"/>
              <w:rPr>
                <w:rFonts w:eastAsia="Segoe UI" w:cs="Segoe UI"/>
                <w:color w:val="auto"/>
                <w:sz w:val="20"/>
                <w:szCs w:val="20"/>
                <w:lang w:val="es-ES"/>
              </w:rPr>
            </w:pPr>
          </w:p>
        </w:tc>
      </w:tr>
    </w:tbl>
    <w:p w14:paraId="2E39A7EE" w14:textId="77777777" w:rsidR="00233607" w:rsidRPr="00E4666D" w:rsidRDefault="00233607" w:rsidP="00322B90">
      <w:pPr>
        <w:rPr>
          <w:rFonts w:eastAsia="Segoe UI" w:cs="Segoe UI"/>
          <w:b/>
          <w:bCs/>
          <w:color w:val="auto"/>
          <w:lang w:val="es-ES"/>
        </w:rPr>
      </w:pPr>
      <w:bookmarkStart w:id="47" w:name="_Toc107569112"/>
      <w:bookmarkStart w:id="48" w:name="_Toc19566111"/>
      <w:bookmarkStart w:id="49" w:name="_Toc1497982143"/>
      <w:bookmarkStart w:id="50" w:name="_Toc1507739351"/>
    </w:p>
    <w:p w14:paraId="74EC13A6" w14:textId="77777777" w:rsidR="00712633" w:rsidRPr="00E4666D" w:rsidRDefault="00712633" w:rsidP="006330D5">
      <w:pPr>
        <w:spacing w:after="240" w:line="240" w:lineRule="exact"/>
        <w:rPr>
          <w:rFonts w:eastAsia="Segoe UI" w:cs="Segoe UI"/>
          <w:b/>
          <w:bCs/>
          <w:color w:val="auto"/>
          <w:lang w:val="es-ES"/>
        </w:rPr>
      </w:pPr>
      <w:r>
        <w:rPr>
          <w:b/>
          <w:bCs/>
          <w:lang w:val="es-ES"/>
        </w:rPr>
        <w:t>Módulo 4: Desarrollo de la capacidad humana</w:t>
      </w:r>
      <w:bookmarkEnd w:id="47"/>
      <w:bookmarkEnd w:id="48"/>
      <w:bookmarkEnd w:id="49"/>
      <w:bookmarkEnd w:id="50"/>
    </w:p>
    <w:p w14:paraId="1FBABE5E" w14:textId="77777777" w:rsidR="00712633" w:rsidRPr="00E4666D" w:rsidRDefault="00712633" w:rsidP="006330D5">
      <w:pPr>
        <w:spacing w:after="240" w:line="240" w:lineRule="exact"/>
        <w:rPr>
          <w:rFonts w:eastAsia="Segoe UI" w:cs="Segoe UI"/>
          <w:color w:val="auto"/>
          <w:lang w:val="es-ES"/>
        </w:rPr>
      </w:pPr>
      <w:r>
        <w:rPr>
          <w:lang w:val="es-ES"/>
        </w:rPr>
        <w:t>El desarrollo de la capacidad humana es la piedra angular de la implementación de la GBON y resulta fundamental para garantizar la sostenibilidad de la red de observaciones. La modernización de la infraestructura de observaciones exige que el personal cuente con mayores conocimientos teóricos y prácticos para hacer frente a los retos futuros en las operaciones de la red.</w:t>
      </w:r>
    </w:p>
    <w:p w14:paraId="5A25E7C0" w14:textId="77777777" w:rsidR="00712633" w:rsidRPr="00E4666D" w:rsidRDefault="0017320A" w:rsidP="006330D5">
      <w:pPr>
        <w:spacing w:after="240" w:line="240" w:lineRule="exact"/>
        <w:rPr>
          <w:rFonts w:eastAsia="Segoe UI" w:cs="Segoe UI"/>
          <w:color w:val="auto"/>
          <w:lang w:val="es-ES"/>
        </w:rPr>
      </w:pPr>
      <w:r>
        <w:rPr>
          <w:lang w:val="es-ES"/>
        </w:rPr>
        <w:t>Los Miembros evalúan las carencias en materia de capacidad humana y elaboran las actividades de desarrollo de capacidad necesarias para colmarlas. Dichas actividades deben dirigirse al personal técnico encargado del mantenimiento de la infraestructura de observaciones modernizada y al personal directivo superior encargado de la gestión a largo plazo de la aplicación estratégica del plan.</w:t>
      </w:r>
    </w:p>
    <w:p w14:paraId="7B389527" w14:textId="423A7F4E" w:rsidR="00712633" w:rsidRPr="00E4666D" w:rsidRDefault="00712633" w:rsidP="006330D5">
      <w:pPr>
        <w:spacing w:after="240" w:line="240" w:lineRule="exact"/>
        <w:rPr>
          <w:rFonts w:eastAsia="Segoe UI" w:cs="Segoe UI"/>
          <w:color w:val="auto"/>
          <w:lang w:val="es-ES"/>
        </w:rPr>
      </w:pPr>
      <w:r>
        <w:rPr>
          <w:lang w:val="es-ES"/>
        </w:rPr>
        <w:t xml:space="preserve">El tipo de conocimientos y capacitación del personal depende del diseño de infraestructura elegido y de las carencias en materia de capacidad humana de los Miembros. Es necesario asegurarse de que el país mantiene la capacidad esencial relacionada con la generación y el intercambio de observaciones. En caso de </w:t>
      </w:r>
      <w:r w:rsidR="00600D24">
        <w:rPr>
          <w:lang w:val="es-ES"/>
        </w:rPr>
        <w:t>recurrir a</w:t>
      </w:r>
      <w:r>
        <w:rPr>
          <w:lang w:val="es-ES"/>
        </w:rPr>
        <w:t xml:space="preserve"> asociados del sector privado, es importante asegurarse de que el país cuenta con los conocimientos y la capacidad necesarios para establecer, </w:t>
      </w:r>
      <w:r>
        <w:rPr>
          <w:lang w:val="es-ES"/>
        </w:rPr>
        <w:lastRenderedPageBreak/>
        <w:t>supervisar y gestionar las relaciones contractuales y controlar los servicios adquiridos. Las actividades y los resultados del Módulo 4 se resumen en el cuadro 5.10.</w:t>
      </w:r>
    </w:p>
    <w:p w14:paraId="44BEE24B" w14:textId="77777777" w:rsidR="00233607" w:rsidRPr="00E4666D" w:rsidRDefault="00233607" w:rsidP="00FB7E6A">
      <w:pPr>
        <w:spacing w:after="240" w:line="240" w:lineRule="exact"/>
        <w:jc w:val="center"/>
        <w:rPr>
          <w:b/>
          <w:bCs/>
          <w:lang w:val="es-ES"/>
        </w:rPr>
      </w:pPr>
      <w:r>
        <w:rPr>
          <w:b/>
          <w:bCs/>
          <w:lang w:val="es-ES"/>
        </w:rPr>
        <w:t>Cuadro 5.10.</w:t>
      </w:r>
      <w:r>
        <w:rPr>
          <w:lang w:val="es-ES"/>
        </w:rPr>
        <w:t xml:space="preserve"> </w:t>
      </w:r>
      <w:r>
        <w:rPr>
          <w:b/>
          <w:bCs/>
          <w:lang w:val="es-ES"/>
        </w:rPr>
        <w:t>Actividades y resultados del Módulo 4</w:t>
      </w:r>
    </w:p>
    <w:tbl>
      <w:tblPr>
        <w:tblStyle w:val="TableGrid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A0" w:firstRow="1" w:lastRow="0" w:firstColumn="1" w:lastColumn="0" w:noHBand="1" w:noVBand="1"/>
      </w:tblPr>
      <w:tblGrid>
        <w:gridCol w:w="988"/>
        <w:gridCol w:w="1995"/>
        <w:gridCol w:w="3262"/>
        <w:gridCol w:w="3384"/>
      </w:tblGrid>
      <w:tr w:rsidR="00712633" w:rsidRPr="003530E7" w14:paraId="02E0A5DC" w14:textId="77777777" w:rsidTr="00BD3815">
        <w:trPr>
          <w:trHeight w:val="480"/>
          <w:tblHeader/>
        </w:trPr>
        <w:tc>
          <w:tcPr>
            <w:tcW w:w="513" w:type="pct"/>
            <w:vMerge w:val="restart"/>
            <w:shd w:val="clear" w:color="auto" w:fill="F2F2F2" w:themeFill="background1" w:themeFillShade="F2"/>
            <w:vAlign w:val="center"/>
          </w:tcPr>
          <w:p w14:paraId="69FC2B17" w14:textId="77777777" w:rsidR="00712633" w:rsidRPr="003E02A9" w:rsidRDefault="00712633" w:rsidP="00C90BAB">
            <w:pPr>
              <w:spacing w:before="60" w:after="60"/>
              <w:jc w:val="center"/>
              <w:rPr>
                <w:rFonts w:eastAsia="Segoe UI" w:cs="Segoe UI"/>
                <w:b/>
                <w:bCs/>
                <w:color w:val="auto"/>
                <w:sz w:val="20"/>
                <w:szCs w:val="20"/>
              </w:rPr>
            </w:pPr>
            <w:r w:rsidRPr="003E02A9">
              <w:rPr>
                <w:b/>
                <w:bCs/>
                <w:sz w:val="20"/>
                <w:szCs w:val="20"/>
                <w:lang w:val="es-ES"/>
              </w:rPr>
              <w:t>Punto</w:t>
            </w:r>
          </w:p>
        </w:tc>
        <w:tc>
          <w:tcPr>
            <w:tcW w:w="1036" w:type="pct"/>
            <w:vMerge w:val="restart"/>
            <w:shd w:val="clear" w:color="auto" w:fill="F2F2F2" w:themeFill="background1" w:themeFillShade="F2"/>
            <w:vAlign w:val="center"/>
          </w:tcPr>
          <w:p w14:paraId="0A0DF504" w14:textId="77777777" w:rsidR="00712633" w:rsidRPr="003E02A9" w:rsidRDefault="00712633" w:rsidP="00C90BAB">
            <w:pPr>
              <w:spacing w:before="60" w:after="60"/>
              <w:jc w:val="center"/>
              <w:rPr>
                <w:rFonts w:eastAsia="Segoe UI" w:cs="Segoe UI"/>
                <w:b/>
                <w:bCs/>
                <w:color w:val="auto"/>
                <w:sz w:val="20"/>
                <w:szCs w:val="20"/>
              </w:rPr>
            </w:pPr>
            <w:r w:rsidRPr="003E02A9">
              <w:rPr>
                <w:b/>
                <w:bCs/>
                <w:sz w:val="20"/>
                <w:szCs w:val="20"/>
                <w:lang w:val="es-ES"/>
              </w:rPr>
              <w:t>Actividad</w:t>
            </w:r>
          </w:p>
        </w:tc>
        <w:tc>
          <w:tcPr>
            <w:tcW w:w="1694" w:type="pct"/>
            <w:vMerge w:val="restart"/>
            <w:shd w:val="clear" w:color="auto" w:fill="F2F2F2" w:themeFill="background1" w:themeFillShade="F2"/>
            <w:vAlign w:val="center"/>
          </w:tcPr>
          <w:p w14:paraId="63BC50CF" w14:textId="6DAF191C" w:rsidR="00712633" w:rsidRPr="003E02A9" w:rsidRDefault="00712633" w:rsidP="00C90BAB">
            <w:pPr>
              <w:spacing w:before="60" w:after="60"/>
              <w:jc w:val="center"/>
              <w:rPr>
                <w:rFonts w:eastAsia="Segoe UI" w:cs="Segoe UI"/>
                <w:b/>
                <w:bCs/>
                <w:color w:val="auto"/>
                <w:sz w:val="20"/>
                <w:szCs w:val="20"/>
              </w:rPr>
            </w:pPr>
            <w:r w:rsidRPr="003E02A9">
              <w:rPr>
                <w:b/>
                <w:bCs/>
                <w:sz w:val="20"/>
                <w:szCs w:val="20"/>
                <w:lang w:val="es-ES"/>
              </w:rPr>
              <w:t>Resultados</w:t>
            </w:r>
          </w:p>
        </w:tc>
        <w:tc>
          <w:tcPr>
            <w:tcW w:w="1757" w:type="pct"/>
            <w:vMerge w:val="restart"/>
            <w:shd w:val="clear" w:color="auto" w:fill="F2F2F2" w:themeFill="background1" w:themeFillShade="F2"/>
            <w:vAlign w:val="center"/>
          </w:tcPr>
          <w:p w14:paraId="4A74EE24" w14:textId="11D61B9C" w:rsidR="00712633" w:rsidRPr="003E02A9" w:rsidRDefault="00712633" w:rsidP="00C90BAB">
            <w:pPr>
              <w:spacing w:before="60" w:after="60"/>
              <w:jc w:val="center"/>
              <w:rPr>
                <w:rFonts w:eastAsia="Segoe UI" w:cs="Segoe UI"/>
                <w:b/>
                <w:bCs/>
                <w:color w:val="auto"/>
                <w:sz w:val="20"/>
                <w:szCs w:val="20"/>
              </w:rPr>
            </w:pPr>
            <w:r w:rsidRPr="003E02A9">
              <w:rPr>
                <w:b/>
                <w:bCs/>
                <w:sz w:val="20"/>
                <w:szCs w:val="20"/>
                <w:lang w:val="es-ES"/>
              </w:rPr>
              <w:t xml:space="preserve">Material de orientación </w:t>
            </w:r>
            <w:r w:rsidR="000E2B90" w:rsidRPr="000E2B90">
              <w:rPr>
                <w:b/>
                <w:bCs/>
                <w:sz w:val="20"/>
                <w:szCs w:val="20"/>
                <w:lang w:val="es-ES"/>
              </w:rPr>
              <w:t>correspondiente</w:t>
            </w:r>
          </w:p>
        </w:tc>
      </w:tr>
      <w:tr w:rsidR="00712633" w:rsidRPr="003530E7" w14:paraId="0369C4A4" w14:textId="77777777" w:rsidTr="00BD3815">
        <w:trPr>
          <w:trHeight w:val="480"/>
          <w:tblHeader/>
        </w:trPr>
        <w:tc>
          <w:tcPr>
            <w:tcW w:w="513" w:type="pct"/>
            <w:vMerge/>
            <w:shd w:val="clear" w:color="auto" w:fill="F2F2F2" w:themeFill="background1" w:themeFillShade="F2"/>
          </w:tcPr>
          <w:p w14:paraId="7F47A709" w14:textId="77777777" w:rsidR="00712633" w:rsidRPr="003E02A9" w:rsidRDefault="00712633" w:rsidP="00C90BAB">
            <w:pPr>
              <w:spacing w:before="60" w:after="60"/>
              <w:rPr>
                <w:rFonts w:eastAsia="Calibri" w:cs="Calibri"/>
                <w:color w:val="auto"/>
                <w:sz w:val="20"/>
                <w:szCs w:val="20"/>
              </w:rPr>
            </w:pPr>
          </w:p>
        </w:tc>
        <w:tc>
          <w:tcPr>
            <w:tcW w:w="1036" w:type="pct"/>
            <w:vMerge/>
            <w:shd w:val="clear" w:color="auto" w:fill="F2F2F2" w:themeFill="background1" w:themeFillShade="F2"/>
          </w:tcPr>
          <w:p w14:paraId="7ADFF45D" w14:textId="77777777" w:rsidR="00712633" w:rsidRPr="003E02A9" w:rsidRDefault="00712633" w:rsidP="00C90BAB">
            <w:pPr>
              <w:spacing w:before="60" w:after="60"/>
              <w:rPr>
                <w:rFonts w:eastAsia="Calibri" w:cs="Calibri"/>
                <w:color w:val="auto"/>
                <w:sz w:val="20"/>
                <w:szCs w:val="20"/>
              </w:rPr>
            </w:pPr>
          </w:p>
        </w:tc>
        <w:tc>
          <w:tcPr>
            <w:tcW w:w="1694" w:type="pct"/>
            <w:vMerge/>
            <w:shd w:val="clear" w:color="auto" w:fill="F2F2F2" w:themeFill="background1" w:themeFillShade="F2"/>
          </w:tcPr>
          <w:p w14:paraId="7CAE7A82" w14:textId="77777777" w:rsidR="00712633" w:rsidRPr="003E02A9" w:rsidRDefault="00712633" w:rsidP="00C90BAB">
            <w:pPr>
              <w:spacing w:before="60" w:after="60"/>
              <w:rPr>
                <w:rFonts w:eastAsia="Calibri" w:cs="Calibri"/>
                <w:color w:val="auto"/>
                <w:sz w:val="20"/>
                <w:szCs w:val="20"/>
              </w:rPr>
            </w:pPr>
          </w:p>
        </w:tc>
        <w:tc>
          <w:tcPr>
            <w:tcW w:w="1757" w:type="pct"/>
            <w:vMerge/>
            <w:shd w:val="clear" w:color="auto" w:fill="F2F2F2" w:themeFill="background1" w:themeFillShade="F2"/>
          </w:tcPr>
          <w:p w14:paraId="4C9ECEA1" w14:textId="77777777" w:rsidR="00712633" w:rsidRPr="003E02A9" w:rsidRDefault="00712633" w:rsidP="00C90BAB">
            <w:pPr>
              <w:spacing w:before="60" w:after="60"/>
              <w:rPr>
                <w:rFonts w:eastAsia="Calibri" w:cs="Calibri"/>
                <w:color w:val="auto"/>
                <w:sz w:val="20"/>
                <w:szCs w:val="20"/>
              </w:rPr>
            </w:pPr>
          </w:p>
        </w:tc>
      </w:tr>
      <w:tr w:rsidR="00712633" w:rsidRPr="00AE4BEE" w14:paraId="67CBCCB9" w14:textId="77777777" w:rsidTr="00BD3815">
        <w:tc>
          <w:tcPr>
            <w:tcW w:w="513" w:type="pct"/>
            <w:shd w:val="clear" w:color="auto" w:fill="auto"/>
          </w:tcPr>
          <w:p w14:paraId="0BA98C5E" w14:textId="77777777" w:rsidR="00712633" w:rsidRPr="003E02A9" w:rsidRDefault="00712633" w:rsidP="00C90BAB">
            <w:pPr>
              <w:spacing w:before="60" w:after="60"/>
              <w:rPr>
                <w:rFonts w:eastAsia="Segoe UI" w:cs="Segoe UI"/>
                <w:color w:val="auto"/>
                <w:sz w:val="20"/>
                <w:szCs w:val="20"/>
              </w:rPr>
            </w:pPr>
            <w:r w:rsidRPr="003E02A9">
              <w:rPr>
                <w:sz w:val="20"/>
                <w:szCs w:val="20"/>
                <w:lang w:val="es-ES"/>
              </w:rPr>
              <w:t>4.1</w:t>
            </w:r>
          </w:p>
        </w:tc>
        <w:tc>
          <w:tcPr>
            <w:tcW w:w="1036" w:type="pct"/>
            <w:shd w:val="clear" w:color="auto" w:fill="auto"/>
          </w:tcPr>
          <w:p w14:paraId="027A9BE3" w14:textId="77777777" w:rsidR="00712633" w:rsidRPr="003E02A9" w:rsidRDefault="00712633" w:rsidP="00C90BAB">
            <w:pPr>
              <w:spacing w:before="60" w:after="60"/>
              <w:rPr>
                <w:rFonts w:eastAsia="Segoe UI" w:cs="Segoe UI"/>
                <w:color w:val="auto"/>
                <w:sz w:val="20"/>
                <w:szCs w:val="20"/>
                <w:lang w:val="es-ES"/>
              </w:rPr>
            </w:pPr>
            <w:r w:rsidRPr="003E02A9">
              <w:rPr>
                <w:sz w:val="20"/>
                <w:szCs w:val="20"/>
                <w:lang w:val="es-ES"/>
              </w:rPr>
              <w:t>Evaluación de carencias en materia de capacidad humana</w:t>
            </w:r>
          </w:p>
        </w:tc>
        <w:tc>
          <w:tcPr>
            <w:tcW w:w="1694" w:type="pct"/>
            <w:shd w:val="clear" w:color="auto" w:fill="auto"/>
          </w:tcPr>
          <w:p w14:paraId="34BB0D9C" w14:textId="2EBDD9A5" w:rsidR="00712633" w:rsidRPr="003E02A9" w:rsidRDefault="00712633" w:rsidP="00C90BAB">
            <w:pPr>
              <w:numPr>
                <w:ilvl w:val="0"/>
                <w:numId w:val="13"/>
              </w:numPr>
              <w:spacing w:before="60" w:after="60"/>
              <w:rPr>
                <w:rFonts w:eastAsia="Segoe UI" w:cs="Segoe UI"/>
                <w:color w:val="auto"/>
                <w:sz w:val="20"/>
                <w:szCs w:val="20"/>
                <w:lang w:val="es-ES"/>
              </w:rPr>
            </w:pPr>
            <w:r w:rsidRPr="003E02A9">
              <w:rPr>
                <w:sz w:val="20"/>
                <w:szCs w:val="20"/>
                <w:lang w:val="es-ES"/>
              </w:rPr>
              <w:t>Aptitudes del personal, nivel de formación y deficiencias en materia de capacidad de los técnicos</w:t>
            </w:r>
            <w:r w:rsidR="002B40EF">
              <w:rPr>
                <w:sz w:val="20"/>
                <w:szCs w:val="20"/>
                <w:lang w:val="es-ES"/>
              </w:rPr>
              <w:t>,</w:t>
            </w:r>
            <w:r w:rsidRPr="003E02A9">
              <w:rPr>
                <w:sz w:val="20"/>
                <w:szCs w:val="20"/>
                <w:lang w:val="es-ES"/>
              </w:rPr>
              <w:t xml:space="preserve"> expertos</w:t>
            </w:r>
            <w:r w:rsidR="002B40EF">
              <w:rPr>
                <w:sz w:val="20"/>
                <w:szCs w:val="20"/>
                <w:lang w:val="es-ES"/>
              </w:rPr>
              <w:t>,</w:t>
            </w:r>
            <w:r w:rsidRPr="003E02A9">
              <w:rPr>
                <w:sz w:val="20"/>
                <w:szCs w:val="20"/>
                <w:lang w:val="es-ES"/>
              </w:rPr>
              <w:t xml:space="preserve"> y </w:t>
            </w:r>
            <w:r w:rsidR="002B40EF">
              <w:rPr>
                <w:sz w:val="20"/>
                <w:szCs w:val="20"/>
                <w:lang w:val="es-ES"/>
              </w:rPr>
              <w:t xml:space="preserve">personal de </w:t>
            </w:r>
            <w:r w:rsidRPr="003E02A9">
              <w:rPr>
                <w:sz w:val="20"/>
                <w:szCs w:val="20"/>
                <w:lang w:val="es-ES"/>
              </w:rPr>
              <w:t xml:space="preserve">gestión </w:t>
            </w:r>
          </w:p>
        </w:tc>
        <w:tc>
          <w:tcPr>
            <w:tcW w:w="1757" w:type="pct"/>
            <w:shd w:val="clear" w:color="auto" w:fill="auto"/>
          </w:tcPr>
          <w:p w14:paraId="0705F1B8" w14:textId="0121E05D" w:rsidR="00712633" w:rsidRPr="003E02A9" w:rsidRDefault="00D00C61" w:rsidP="00C90BAB">
            <w:pPr>
              <w:spacing w:before="60" w:after="60"/>
              <w:rPr>
                <w:rFonts w:eastAsia="Segoe UI" w:cs="Segoe UI"/>
                <w:color w:val="auto"/>
                <w:sz w:val="20"/>
                <w:szCs w:val="20"/>
                <w:lang w:val="es-ES"/>
              </w:rPr>
            </w:pPr>
            <w:r w:rsidRPr="003E02A9">
              <w:rPr>
                <w:sz w:val="20"/>
                <w:szCs w:val="20"/>
                <w:lang w:val="es-ES"/>
              </w:rPr>
              <w:t xml:space="preserve">La publicación </w:t>
            </w:r>
            <w:hyperlink r:id="rId61" w:history="1">
              <w:proofErr w:type="spellStart"/>
              <w:r w:rsidRPr="00BB50DA">
                <w:rPr>
                  <w:rStyle w:val="Hyperlink"/>
                  <w:i/>
                  <w:iCs/>
                  <w:sz w:val="20"/>
                  <w:szCs w:val="20"/>
                  <w:lang w:val="es-ES"/>
                </w:rPr>
                <w:t>Guide</w:t>
              </w:r>
              <w:proofErr w:type="spellEnd"/>
              <w:r w:rsidRPr="00BB50DA">
                <w:rPr>
                  <w:rStyle w:val="Hyperlink"/>
                  <w:i/>
                  <w:iCs/>
                  <w:sz w:val="20"/>
                  <w:szCs w:val="20"/>
                  <w:lang w:val="es-ES"/>
                </w:rPr>
                <w:t xml:space="preserve"> </w:t>
              </w:r>
              <w:proofErr w:type="spellStart"/>
              <w:r w:rsidRPr="00BB50DA">
                <w:rPr>
                  <w:rStyle w:val="Hyperlink"/>
                  <w:i/>
                  <w:iCs/>
                  <w:sz w:val="20"/>
                  <w:szCs w:val="20"/>
                  <w:lang w:val="es-ES"/>
                </w:rPr>
                <w:t>to</w:t>
              </w:r>
              <w:proofErr w:type="spellEnd"/>
              <w:r w:rsidRPr="00BB50DA">
                <w:rPr>
                  <w:rStyle w:val="Hyperlink"/>
                  <w:i/>
                  <w:iCs/>
                  <w:sz w:val="20"/>
                  <w:szCs w:val="20"/>
                  <w:lang w:val="es-ES"/>
                </w:rPr>
                <w:t xml:space="preserve"> </w:t>
              </w:r>
              <w:proofErr w:type="spellStart"/>
              <w:r w:rsidRPr="00BB50DA">
                <w:rPr>
                  <w:rStyle w:val="Hyperlink"/>
                  <w:i/>
                  <w:iCs/>
                  <w:sz w:val="20"/>
                  <w:szCs w:val="20"/>
                  <w:lang w:val="es-ES"/>
                </w:rPr>
                <w:t>Competency</w:t>
              </w:r>
              <w:proofErr w:type="spellEnd"/>
            </w:hyperlink>
            <w:r w:rsidRPr="003E02A9">
              <w:rPr>
                <w:sz w:val="20"/>
                <w:szCs w:val="20"/>
                <w:lang w:val="es-ES"/>
              </w:rPr>
              <w:t xml:space="preserve"> (WMO-No. 1205) (Guía sobre competencias)</w:t>
            </w:r>
          </w:p>
          <w:p w14:paraId="0A16D45F" w14:textId="77777777" w:rsidR="00712633" w:rsidRPr="003E02A9" w:rsidRDefault="00712633" w:rsidP="00C90BAB">
            <w:pPr>
              <w:spacing w:before="60" w:after="60"/>
              <w:rPr>
                <w:rFonts w:eastAsia="Segoe UI" w:cs="Segoe UI"/>
                <w:color w:val="auto"/>
                <w:sz w:val="20"/>
                <w:szCs w:val="20"/>
                <w:lang w:val="es-ES"/>
              </w:rPr>
            </w:pPr>
          </w:p>
          <w:p w14:paraId="28DE00A7" w14:textId="4023C56F" w:rsidR="00712633" w:rsidRPr="003E02A9" w:rsidRDefault="008C2CFE" w:rsidP="00C90BAB">
            <w:pPr>
              <w:spacing w:before="60" w:after="60"/>
              <w:rPr>
                <w:rFonts w:eastAsia="Segoe UI" w:cs="Segoe UI"/>
                <w:color w:val="auto"/>
                <w:sz w:val="20"/>
                <w:szCs w:val="20"/>
                <w:lang w:val="es-ES"/>
              </w:rPr>
            </w:pPr>
            <w:hyperlink r:id="rId62" w:history="1">
              <w:r w:rsidR="00D00C61" w:rsidRPr="00BB50DA">
                <w:rPr>
                  <w:rStyle w:val="Hyperlink"/>
                  <w:i/>
                  <w:iCs/>
                  <w:sz w:val="20"/>
                  <w:szCs w:val="20"/>
                  <w:lang w:val="es-ES"/>
                </w:rPr>
                <w:t>Directrices para los instructores de los servicios meteorológicos, hidrológicos y climáticos</w:t>
              </w:r>
            </w:hyperlink>
            <w:r w:rsidR="00D00C61" w:rsidRPr="003E02A9">
              <w:rPr>
                <w:i/>
                <w:iCs/>
                <w:sz w:val="20"/>
                <w:szCs w:val="20"/>
                <w:lang w:val="es-ES"/>
              </w:rPr>
              <w:t xml:space="preserve"> </w:t>
            </w:r>
            <w:r w:rsidR="00D00C61" w:rsidRPr="003E02A9">
              <w:rPr>
                <w:sz w:val="20"/>
                <w:szCs w:val="20"/>
                <w:lang w:val="es-ES"/>
              </w:rPr>
              <w:t>(OMM-Nº 1114)</w:t>
            </w:r>
          </w:p>
        </w:tc>
      </w:tr>
      <w:tr w:rsidR="00712633" w:rsidRPr="00AE4BEE" w14:paraId="686346B7" w14:textId="77777777" w:rsidTr="00BD3815">
        <w:tc>
          <w:tcPr>
            <w:tcW w:w="513" w:type="pct"/>
            <w:shd w:val="clear" w:color="auto" w:fill="auto"/>
          </w:tcPr>
          <w:p w14:paraId="1079CF0B" w14:textId="77777777" w:rsidR="00712633" w:rsidRPr="003E02A9" w:rsidRDefault="00712633" w:rsidP="00C90BAB">
            <w:pPr>
              <w:spacing w:before="60" w:after="60"/>
              <w:rPr>
                <w:rFonts w:eastAsia="Segoe UI" w:cs="Segoe UI"/>
                <w:color w:val="auto"/>
                <w:sz w:val="20"/>
                <w:szCs w:val="20"/>
              </w:rPr>
            </w:pPr>
            <w:r w:rsidRPr="003E02A9">
              <w:rPr>
                <w:sz w:val="20"/>
                <w:szCs w:val="20"/>
                <w:lang w:val="es-ES"/>
              </w:rPr>
              <w:t>4.2</w:t>
            </w:r>
          </w:p>
        </w:tc>
        <w:tc>
          <w:tcPr>
            <w:tcW w:w="1036" w:type="pct"/>
            <w:shd w:val="clear" w:color="auto" w:fill="auto"/>
          </w:tcPr>
          <w:p w14:paraId="2C0899D0" w14:textId="77777777" w:rsidR="00712633" w:rsidRPr="003E02A9" w:rsidRDefault="00712633" w:rsidP="00C90BAB">
            <w:pPr>
              <w:spacing w:before="60" w:after="60"/>
              <w:rPr>
                <w:rFonts w:eastAsia="Segoe UI" w:cs="Segoe UI"/>
                <w:color w:val="auto"/>
                <w:sz w:val="20"/>
                <w:szCs w:val="20"/>
                <w:lang w:val="es-ES"/>
              </w:rPr>
            </w:pPr>
            <w:r w:rsidRPr="003E02A9">
              <w:rPr>
                <w:sz w:val="20"/>
                <w:szCs w:val="20"/>
                <w:lang w:val="es-ES"/>
              </w:rPr>
              <w:t xml:space="preserve">Diseño de actividades de desarrollo de capacidad para el personal técnico </w:t>
            </w:r>
          </w:p>
        </w:tc>
        <w:tc>
          <w:tcPr>
            <w:tcW w:w="1694" w:type="pct"/>
            <w:shd w:val="clear" w:color="auto" w:fill="auto"/>
          </w:tcPr>
          <w:p w14:paraId="6101789B" w14:textId="2C142EDE" w:rsidR="00712633" w:rsidRPr="003E02A9" w:rsidRDefault="00712633" w:rsidP="00C90BAB">
            <w:pPr>
              <w:numPr>
                <w:ilvl w:val="0"/>
                <w:numId w:val="12"/>
              </w:numPr>
              <w:spacing w:before="60" w:after="60"/>
              <w:rPr>
                <w:rFonts w:eastAsia="Segoe UI" w:cs="Segoe UI"/>
                <w:color w:val="auto"/>
                <w:sz w:val="20"/>
                <w:szCs w:val="20"/>
                <w:lang w:val="es-ES"/>
              </w:rPr>
            </w:pPr>
            <w:r w:rsidRPr="003E02A9">
              <w:rPr>
                <w:sz w:val="20"/>
                <w:szCs w:val="20"/>
                <w:lang w:val="es-ES"/>
              </w:rPr>
              <w:t xml:space="preserve">Actividades </w:t>
            </w:r>
            <w:r w:rsidR="00837118">
              <w:rPr>
                <w:sz w:val="20"/>
                <w:szCs w:val="20"/>
                <w:lang w:val="es-ES"/>
              </w:rPr>
              <w:t>de</w:t>
            </w:r>
            <w:r w:rsidRPr="003E02A9">
              <w:rPr>
                <w:sz w:val="20"/>
                <w:szCs w:val="20"/>
                <w:lang w:val="es-ES"/>
              </w:rPr>
              <w:t xml:space="preserve"> formación y </w:t>
            </w:r>
            <w:r w:rsidR="00837118" w:rsidRPr="00837118">
              <w:rPr>
                <w:sz w:val="20"/>
                <w:szCs w:val="20"/>
                <w:lang w:val="es-ES"/>
              </w:rPr>
              <w:t>necesidades de contratación de personal técnico</w:t>
            </w:r>
            <w:r w:rsidR="00837118">
              <w:rPr>
                <w:sz w:val="20"/>
                <w:szCs w:val="20"/>
                <w:lang w:val="es-ES"/>
              </w:rPr>
              <w:t xml:space="preserve"> </w:t>
            </w:r>
            <w:r w:rsidRPr="003E02A9">
              <w:rPr>
                <w:sz w:val="20"/>
                <w:szCs w:val="20"/>
                <w:lang w:val="es-ES"/>
              </w:rPr>
              <w:t>en</w:t>
            </w:r>
            <w:r w:rsidR="00837118">
              <w:rPr>
                <w:sz w:val="20"/>
                <w:szCs w:val="20"/>
                <w:lang w:val="es-ES"/>
              </w:rPr>
              <w:t>:</w:t>
            </w:r>
          </w:p>
          <w:p w14:paraId="107CCD6B" w14:textId="77777777" w:rsidR="00712633" w:rsidRPr="003E02A9" w:rsidRDefault="00712633" w:rsidP="00C90BAB">
            <w:pPr>
              <w:numPr>
                <w:ilvl w:val="0"/>
                <w:numId w:val="26"/>
              </w:numPr>
              <w:spacing w:before="60" w:after="60"/>
              <w:rPr>
                <w:rFonts w:eastAsia="Segoe UI" w:cs="Segoe UI"/>
                <w:color w:val="auto"/>
                <w:sz w:val="20"/>
                <w:szCs w:val="20"/>
                <w:lang w:val="es-ES"/>
              </w:rPr>
            </w:pPr>
            <w:r w:rsidRPr="003E02A9">
              <w:rPr>
                <w:sz w:val="20"/>
                <w:szCs w:val="20"/>
                <w:lang w:val="es-ES"/>
              </w:rPr>
              <w:t xml:space="preserve">Mantenimiento de instrumentos y estaciones </w:t>
            </w:r>
            <w:r w:rsidRPr="003E02A9">
              <w:rPr>
                <w:i/>
                <w:iCs/>
                <w:sz w:val="20"/>
                <w:szCs w:val="20"/>
                <w:lang w:val="es-ES"/>
              </w:rPr>
              <w:t>in situ</w:t>
            </w:r>
            <w:r w:rsidRPr="003E02A9">
              <w:rPr>
                <w:sz w:val="20"/>
                <w:szCs w:val="20"/>
                <w:lang w:val="es-ES"/>
              </w:rPr>
              <w:t>;</w:t>
            </w:r>
          </w:p>
          <w:p w14:paraId="1EE1460F" w14:textId="77777777" w:rsidR="00712633" w:rsidRPr="003E02A9" w:rsidRDefault="00712633" w:rsidP="00C90BAB">
            <w:pPr>
              <w:numPr>
                <w:ilvl w:val="0"/>
                <w:numId w:val="26"/>
              </w:numPr>
              <w:spacing w:before="60" w:after="60"/>
              <w:rPr>
                <w:rFonts w:eastAsia="Segoe UI" w:cs="Segoe UI"/>
                <w:color w:val="auto"/>
                <w:sz w:val="20"/>
                <w:szCs w:val="20"/>
                <w:lang w:val="es-ES"/>
              </w:rPr>
            </w:pPr>
            <w:r w:rsidRPr="003E02A9">
              <w:rPr>
                <w:sz w:val="20"/>
                <w:szCs w:val="20"/>
                <w:lang w:val="es-ES"/>
              </w:rPr>
              <w:t>Calibración y mantenimiento en el taller;</w:t>
            </w:r>
          </w:p>
          <w:p w14:paraId="43496C2A" w14:textId="37C3E0C6" w:rsidR="00712633" w:rsidRPr="003E02A9" w:rsidRDefault="00712633" w:rsidP="00C90BAB">
            <w:pPr>
              <w:numPr>
                <w:ilvl w:val="0"/>
                <w:numId w:val="26"/>
              </w:numPr>
              <w:spacing w:before="60" w:after="60"/>
              <w:rPr>
                <w:rFonts w:eastAsia="Segoe UI" w:cs="Segoe UI"/>
                <w:color w:val="auto"/>
                <w:sz w:val="20"/>
                <w:szCs w:val="20"/>
              </w:rPr>
            </w:pPr>
            <w:r w:rsidRPr="003E02A9">
              <w:rPr>
                <w:sz w:val="20"/>
                <w:szCs w:val="20"/>
                <w:lang w:val="es-ES"/>
              </w:rPr>
              <w:t xml:space="preserve">Monitoreo de redes; </w:t>
            </w:r>
          </w:p>
          <w:p w14:paraId="72C7625E" w14:textId="0F8E646E" w:rsidR="00712633" w:rsidRPr="003E02A9" w:rsidRDefault="00776FB6" w:rsidP="00C90BAB">
            <w:pPr>
              <w:numPr>
                <w:ilvl w:val="0"/>
                <w:numId w:val="26"/>
              </w:numPr>
              <w:spacing w:before="60" w:after="60"/>
              <w:rPr>
                <w:rFonts w:eastAsia="Segoe UI" w:cs="Segoe UI"/>
                <w:color w:val="auto"/>
                <w:sz w:val="20"/>
                <w:szCs w:val="20"/>
                <w:lang w:val="es-ES"/>
              </w:rPr>
            </w:pPr>
            <w:r w:rsidRPr="00776FB6">
              <w:rPr>
                <w:sz w:val="20"/>
                <w:szCs w:val="20"/>
                <w:lang w:val="es-ES"/>
              </w:rPr>
              <w:t>Op</w:t>
            </w:r>
            <w:r>
              <w:rPr>
                <w:sz w:val="20"/>
                <w:szCs w:val="20"/>
                <w:lang w:val="es-ES"/>
              </w:rPr>
              <w:t>eraciones</w:t>
            </w:r>
            <w:r w:rsidR="00712633" w:rsidRPr="003E02A9">
              <w:rPr>
                <w:sz w:val="20"/>
                <w:szCs w:val="20"/>
                <w:lang w:val="es-ES"/>
              </w:rPr>
              <w:t xml:space="preserve"> de los sistemas de tecnología de la información y las comunicaciones</w:t>
            </w:r>
          </w:p>
        </w:tc>
        <w:tc>
          <w:tcPr>
            <w:tcW w:w="1757" w:type="pct"/>
            <w:shd w:val="clear" w:color="auto" w:fill="auto"/>
          </w:tcPr>
          <w:p w14:paraId="6615AB8E" w14:textId="159D1E1B" w:rsidR="00712633" w:rsidRPr="003E02A9" w:rsidRDefault="008C2CFE" w:rsidP="00C90BAB">
            <w:pPr>
              <w:spacing w:before="60" w:after="60"/>
              <w:rPr>
                <w:rFonts w:eastAsia="Segoe UI" w:cs="Segoe UI"/>
                <w:color w:val="auto"/>
                <w:sz w:val="20"/>
                <w:szCs w:val="20"/>
                <w:lang w:val="es-ES"/>
              </w:rPr>
            </w:pPr>
            <w:hyperlink r:id="rId63" w:history="1">
              <w:r w:rsidR="00D00C61" w:rsidRPr="00BB50DA">
                <w:rPr>
                  <w:rStyle w:val="Hyperlink"/>
                  <w:i/>
                  <w:iCs/>
                  <w:sz w:val="20"/>
                  <w:szCs w:val="20"/>
                  <w:lang w:val="es-ES"/>
                </w:rPr>
                <w:t>Guía para la aplicación de normas de enseñanza y formación profesional en meteorología e hidrología</w:t>
              </w:r>
            </w:hyperlink>
            <w:r w:rsidR="00D00C61" w:rsidRPr="003E02A9">
              <w:rPr>
                <w:sz w:val="20"/>
                <w:szCs w:val="20"/>
                <w:lang w:val="es-ES"/>
              </w:rPr>
              <w:t xml:space="preserve"> (OMM-Nº 1083)</w:t>
            </w:r>
          </w:p>
        </w:tc>
      </w:tr>
      <w:tr w:rsidR="00712633" w:rsidRPr="00AE4BEE" w14:paraId="795311CB" w14:textId="77777777" w:rsidTr="00BD3815">
        <w:tc>
          <w:tcPr>
            <w:tcW w:w="513" w:type="pct"/>
            <w:shd w:val="clear" w:color="auto" w:fill="auto"/>
          </w:tcPr>
          <w:p w14:paraId="439CDC68" w14:textId="77777777" w:rsidR="00712633" w:rsidRPr="003E02A9" w:rsidRDefault="00712633" w:rsidP="00C90BAB">
            <w:pPr>
              <w:spacing w:before="60" w:after="60"/>
              <w:rPr>
                <w:rFonts w:eastAsia="Segoe UI" w:cs="Segoe UI"/>
                <w:color w:val="auto"/>
                <w:sz w:val="20"/>
                <w:szCs w:val="20"/>
              </w:rPr>
            </w:pPr>
            <w:r w:rsidRPr="003E02A9">
              <w:rPr>
                <w:sz w:val="20"/>
                <w:szCs w:val="20"/>
                <w:lang w:val="es-ES"/>
              </w:rPr>
              <w:t>4.3</w:t>
            </w:r>
          </w:p>
        </w:tc>
        <w:tc>
          <w:tcPr>
            <w:tcW w:w="1036" w:type="pct"/>
            <w:shd w:val="clear" w:color="auto" w:fill="auto"/>
          </w:tcPr>
          <w:p w14:paraId="73C05A45" w14:textId="77777777" w:rsidR="00712633" w:rsidRPr="003E02A9" w:rsidRDefault="00712633" w:rsidP="00C90BAB">
            <w:pPr>
              <w:spacing w:before="60" w:after="60"/>
              <w:rPr>
                <w:rFonts w:eastAsia="Segoe UI" w:cs="Segoe UI"/>
                <w:color w:val="auto"/>
                <w:sz w:val="20"/>
                <w:szCs w:val="20"/>
                <w:lang w:val="es-ES"/>
              </w:rPr>
            </w:pPr>
            <w:r w:rsidRPr="003E02A9">
              <w:rPr>
                <w:sz w:val="20"/>
                <w:szCs w:val="20"/>
                <w:lang w:val="es-ES"/>
              </w:rPr>
              <w:t xml:space="preserve">Diseño de actividades de desarrollo de capacidad para el personal directivo superior </w:t>
            </w:r>
          </w:p>
        </w:tc>
        <w:tc>
          <w:tcPr>
            <w:tcW w:w="1694" w:type="pct"/>
            <w:shd w:val="clear" w:color="auto" w:fill="auto"/>
          </w:tcPr>
          <w:p w14:paraId="6976D8F6" w14:textId="029648AD" w:rsidR="00837118" w:rsidRPr="00837118" w:rsidRDefault="00837118" w:rsidP="00837118">
            <w:pPr>
              <w:pStyle w:val="ListParagraph"/>
              <w:numPr>
                <w:ilvl w:val="0"/>
                <w:numId w:val="15"/>
              </w:numPr>
              <w:rPr>
                <w:rFonts w:ascii="Verdana" w:eastAsia="Segoe UI" w:hAnsi="Verdana" w:cs="Segoe UI"/>
                <w:color w:val="auto"/>
                <w:sz w:val="20"/>
                <w:szCs w:val="20"/>
                <w:lang w:val="es-ES"/>
              </w:rPr>
            </w:pPr>
            <w:r w:rsidRPr="00837118">
              <w:rPr>
                <w:rFonts w:ascii="Verdana" w:eastAsia="Segoe UI" w:hAnsi="Verdana" w:cs="Segoe UI"/>
                <w:color w:val="auto"/>
                <w:sz w:val="20"/>
                <w:szCs w:val="20"/>
                <w:lang w:val="es-ES"/>
              </w:rPr>
              <w:t xml:space="preserve">Actividades de formación y necesidades de contratación de personal </w:t>
            </w:r>
            <w:r>
              <w:rPr>
                <w:rFonts w:ascii="Verdana" w:eastAsia="Segoe UI" w:hAnsi="Verdana" w:cs="Segoe UI"/>
                <w:color w:val="auto"/>
                <w:sz w:val="20"/>
                <w:szCs w:val="20"/>
                <w:lang w:val="es-ES"/>
              </w:rPr>
              <w:t>directivo</w:t>
            </w:r>
            <w:r w:rsidRPr="00837118">
              <w:rPr>
                <w:rFonts w:ascii="Verdana" w:eastAsia="Segoe UI" w:hAnsi="Verdana" w:cs="Segoe UI"/>
                <w:color w:val="auto"/>
                <w:sz w:val="20"/>
                <w:szCs w:val="20"/>
                <w:lang w:val="es-ES"/>
              </w:rPr>
              <w:t xml:space="preserve"> en</w:t>
            </w:r>
            <w:r>
              <w:rPr>
                <w:rFonts w:ascii="Verdana" w:eastAsia="Segoe UI" w:hAnsi="Verdana" w:cs="Segoe UI"/>
                <w:color w:val="auto"/>
                <w:sz w:val="20"/>
                <w:szCs w:val="20"/>
                <w:lang w:val="es-ES"/>
              </w:rPr>
              <w:t>:</w:t>
            </w:r>
          </w:p>
          <w:p w14:paraId="712E6DAE" w14:textId="2D9E309C" w:rsidR="00712633" w:rsidRPr="003E02A9" w:rsidRDefault="00712633" w:rsidP="00D4732D">
            <w:pPr>
              <w:numPr>
                <w:ilvl w:val="0"/>
                <w:numId w:val="27"/>
              </w:numPr>
              <w:spacing w:before="60" w:after="60"/>
              <w:ind w:right="-93"/>
              <w:rPr>
                <w:rFonts w:eastAsia="Segoe UI" w:cs="Segoe UI"/>
                <w:color w:val="auto"/>
                <w:sz w:val="20"/>
                <w:szCs w:val="20"/>
              </w:rPr>
            </w:pPr>
            <w:r w:rsidRPr="003E02A9">
              <w:rPr>
                <w:sz w:val="20"/>
                <w:szCs w:val="20"/>
                <w:lang w:val="es-ES"/>
              </w:rPr>
              <w:t xml:space="preserve">Planificación estratégica y financiera; </w:t>
            </w:r>
          </w:p>
          <w:p w14:paraId="394CF004" w14:textId="28BBA00F" w:rsidR="00712633" w:rsidRPr="003E02A9" w:rsidRDefault="00712633" w:rsidP="00D4732D">
            <w:pPr>
              <w:numPr>
                <w:ilvl w:val="0"/>
                <w:numId w:val="27"/>
              </w:numPr>
              <w:spacing w:before="60" w:after="60"/>
              <w:ind w:right="-93"/>
              <w:rPr>
                <w:rFonts w:eastAsia="Segoe UI" w:cs="Segoe UI"/>
                <w:color w:val="auto"/>
                <w:sz w:val="20"/>
                <w:szCs w:val="20"/>
              </w:rPr>
            </w:pPr>
            <w:r w:rsidRPr="003E02A9">
              <w:rPr>
                <w:sz w:val="20"/>
                <w:szCs w:val="20"/>
                <w:lang w:val="es-ES"/>
              </w:rPr>
              <w:t>Gestión de proyectos</w:t>
            </w:r>
          </w:p>
        </w:tc>
        <w:tc>
          <w:tcPr>
            <w:tcW w:w="1757" w:type="pct"/>
            <w:shd w:val="clear" w:color="auto" w:fill="auto"/>
          </w:tcPr>
          <w:p w14:paraId="57A096A1" w14:textId="4845FC42" w:rsidR="00712633" w:rsidRPr="003E02A9" w:rsidRDefault="008C2CFE" w:rsidP="00C90BAB">
            <w:pPr>
              <w:spacing w:before="60" w:after="60"/>
              <w:rPr>
                <w:rFonts w:eastAsia="Segoe UI" w:cs="Segoe UI"/>
                <w:color w:val="auto"/>
                <w:sz w:val="20"/>
                <w:szCs w:val="20"/>
                <w:lang w:val="es-ES"/>
              </w:rPr>
            </w:pPr>
            <w:hyperlink r:id="rId64" w:history="1">
              <w:r w:rsidR="00D00C61" w:rsidRPr="00BB50DA">
                <w:rPr>
                  <w:rStyle w:val="Hyperlink"/>
                  <w:i/>
                  <w:iCs/>
                  <w:sz w:val="20"/>
                  <w:szCs w:val="20"/>
                  <w:lang w:val="es-ES"/>
                </w:rPr>
                <w:t xml:space="preserve">Directrices para solicitar una beca de </w:t>
              </w:r>
              <w:r w:rsidR="00D00C61" w:rsidRPr="00BB50DA">
                <w:rPr>
                  <w:rStyle w:val="Hyperlink"/>
                  <w:i/>
                  <w:iCs/>
                  <w:sz w:val="20"/>
                  <w:szCs w:val="20"/>
                  <w:lang w:val="es-ES"/>
                </w:rPr>
                <w:t>l</w:t>
              </w:r>
              <w:r w:rsidR="00D00C61" w:rsidRPr="00BB50DA">
                <w:rPr>
                  <w:rStyle w:val="Hyperlink"/>
                  <w:i/>
                  <w:iCs/>
                  <w:sz w:val="20"/>
                  <w:szCs w:val="20"/>
                  <w:lang w:val="es-ES"/>
                </w:rPr>
                <w:t>a OMM</w:t>
              </w:r>
            </w:hyperlink>
            <w:r w:rsidR="00D00C61" w:rsidRPr="003E02A9">
              <w:rPr>
                <w:sz w:val="20"/>
                <w:szCs w:val="20"/>
                <w:lang w:val="es-ES"/>
              </w:rPr>
              <w:t xml:space="preserve"> </w:t>
            </w:r>
            <w:r w:rsidR="00EA0A2B">
              <w:rPr>
                <w:sz w:val="20"/>
                <w:szCs w:val="20"/>
                <w:lang w:val="es-ES"/>
              </w:rPr>
              <w:br/>
            </w:r>
            <w:r w:rsidR="00D00C61" w:rsidRPr="003E02A9">
              <w:rPr>
                <w:sz w:val="20"/>
                <w:szCs w:val="20"/>
                <w:lang w:val="es-ES"/>
              </w:rPr>
              <w:t>(OMM-Nº 1104)</w:t>
            </w:r>
          </w:p>
          <w:p w14:paraId="46BF7BC6" w14:textId="77777777" w:rsidR="00712633" w:rsidRPr="003E02A9" w:rsidRDefault="00712633" w:rsidP="00C90BAB">
            <w:pPr>
              <w:spacing w:before="60" w:after="60"/>
              <w:rPr>
                <w:rFonts w:eastAsia="Segoe UI" w:cs="Segoe UI"/>
                <w:color w:val="auto"/>
                <w:sz w:val="20"/>
                <w:szCs w:val="20"/>
                <w:lang w:val="es-ES"/>
              </w:rPr>
            </w:pPr>
          </w:p>
          <w:p w14:paraId="3AFC3A3D" w14:textId="7DDB6299" w:rsidR="00712633" w:rsidRPr="003E02A9" w:rsidRDefault="008C2CFE" w:rsidP="00C90BAB">
            <w:pPr>
              <w:spacing w:before="60" w:after="60"/>
              <w:rPr>
                <w:rFonts w:eastAsia="Segoe UI" w:cs="Segoe UI"/>
                <w:color w:val="auto"/>
                <w:sz w:val="20"/>
                <w:szCs w:val="20"/>
                <w:lang w:val="es-ES"/>
              </w:rPr>
            </w:pPr>
            <w:hyperlink r:id="rId65" w:history="1">
              <w:r w:rsidR="00D00C61" w:rsidRPr="00BB50DA">
                <w:rPr>
                  <w:rStyle w:val="Hyperlink"/>
                  <w:i/>
                  <w:iCs/>
                  <w:sz w:val="20"/>
                  <w:szCs w:val="20"/>
                  <w:lang w:val="es-ES"/>
                </w:rPr>
                <w:t xml:space="preserve">A </w:t>
              </w:r>
              <w:proofErr w:type="spellStart"/>
              <w:r w:rsidR="00D00C61" w:rsidRPr="00BB50DA">
                <w:rPr>
                  <w:rStyle w:val="Hyperlink"/>
                  <w:i/>
                  <w:iCs/>
                  <w:sz w:val="20"/>
                  <w:szCs w:val="20"/>
                  <w:lang w:val="es-ES"/>
                </w:rPr>
                <w:t>Compendium</w:t>
              </w:r>
              <w:proofErr w:type="spellEnd"/>
              <w:r w:rsidR="00D00C61" w:rsidRPr="00BB50DA">
                <w:rPr>
                  <w:rStyle w:val="Hyperlink"/>
                  <w:i/>
                  <w:iCs/>
                  <w:sz w:val="20"/>
                  <w:szCs w:val="20"/>
                  <w:lang w:val="es-ES"/>
                </w:rPr>
                <w:t xml:space="preserve"> </w:t>
              </w:r>
              <w:proofErr w:type="spellStart"/>
              <w:r w:rsidR="00D00C61" w:rsidRPr="00BB50DA">
                <w:rPr>
                  <w:rStyle w:val="Hyperlink"/>
                  <w:i/>
                  <w:iCs/>
                  <w:sz w:val="20"/>
                  <w:szCs w:val="20"/>
                  <w:lang w:val="es-ES"/>
                </w:rPr>
                <w:t>of</w:t>
              </w:r>
              <w:proofErr w:type="spellEnd"/>
              <w:r w:rsidR="00D00C61" w:rsidRPr="00BB50DA">
                <w:rPr>
                  <w:rStyle w:val="Hyperlink"/>
                  <w:i/>
                  <w:iCs/>
                  <w:sz w:val="20"/>
                  <w:szCs w:val="20"/>
                  <w:lang w:val="es-ES"/>
                </w:rPr>
                <w:t xml:space="preserve"> </w:t>
              </w:r>
              <w:proofErr w:type="spellStart"/>
              <w:r w:rsidR="00D00C61" w:rsidRPr="00BB50DA">
                <w:rPr>
                  <w:rStyle w:val="Hyperlink"/>
                  <w:i/>
                  <w:iCs/>
                  <w:sz w:val="20"/>
                  <w:szCs w:val="20"/>
                  <w:lang w:val="es-ES"/>
                </w:rPr>
                <w:t>Topics</w:t>
              </w:r>
              <w:proofErr w:type="spellEnd"/>
              <w:r w:rsidR="00D00C61" w:rsidRPr="00BB50DA">
                <w:rPr>
                  <w:rStyle w:val="Hyperlink"/>
                  <w:i/>
                  <w:iCs/>
                  <w:sz w:val="20"/>
                  <w:szCs w:val="20"/>
                  <w:lang w:val="es-ES"/>
                </w:rPr>
                <w:t xml:space="preserve"> </w:t>
              </w:r>
              <w:proofErr w:type="spellStart"/>
              <w:r w:rsidR="00D00C61" w:rsidRPr="00BB50DA">
                <w:rPr>
                  <w:rStyle w:val="Hyperlink"/>
                  <w:i/>
                  <w:iCs/>
                  <w:sz w:val="20"/>
                  <w:szCs w:val="20"/>
                  <w:lang w:val="es-ES"/>
                </w:rPr>
                <w:t>to</w:t>
              </w:r>
              <w:proofErr w:type="spellEnd"/>
              <w:r w:rsidR="00D00C61" w:rsidRPr="00BB50DA">
                <w:rPr>
                  <w:rStyle w:val="Hyperlink"/>
                  <w:i/>
                  <w:iCs/>
                  <w:sz w:val="20"/>
                  <w:szCs w:val="20"/>
                  <w:lang w:val="es-ES"/>
                </w:rPr>
                <w:t xml:space="preserve"> </w:t>
              </w:r>
              <w:proofErr w:type="spellStart"/>
              <w:r w:rsidR="00D00C61" w:rsidRPr="00BB50DA">
                <w:rPr>
                  <w:rStyle w:val="Hyperlink"/>
                  <w:i/>
                  <w:iCs/>
                  <w:sz w:val="20"/>
                  <w:szCs w:val="20"/>
                  <w:lang w:val="es-ES"/>
                </w:rPr>
                <w:t>Suppo</w:t>
              </w:r>
              <w:r w:rsidR="00D00C61" w:rsidRPr="00BB50DA">
                <w:rPr>
                  <w:rStyle w:val="Hyperlink"/>
                  <w:i/>
                  <w:iCs/>
                  <w:sz w:val="20"/>
                  <w:szCs w:val="20"/>
                  <w:lang w:val="es-ES"/>
                </w:rPr>
                <w:t>r</w:t>
              </w:r>
              <w:r w:rsidR="00D00C61" w:rsidRPr="00BB50DA">
                <w:rPr>
                  <w:rStyle w:val="Hyperlink"/>
                  <w:i/>
                  <w:iCs/>
                  <w:sz w:val="20"/>
                  <w:szCs w:val="20"/>
                  <w:lang w:val="es-ES"/>
                </w:rPr>
                <w:t>t</w:t>
              </w:r>
              <w:proofErr w:type="spellEnd"/>
              <w:r w:rsidR="00D00C61" w:rsidRPr="00BB50DA">
                <w:rPr>
                  <w:rStyle w:val="Hyperlink"/>
                  <w:i/>
                  <w:iCs/>
                  <w:sz w:val="20"/>
                  <w:szCs w:val="20"/>
                  <w:lang w:val="es-ES"/>
                </w:rPr>
                <w:t xml:space="preserve"> Management </w:t>
              </w:r>
              <w:proofErr w:type="spellStart"/>
              <w:r w:rsidR="00D00C61" w:rsidRPr="00BB50DA">
                <w:rPr>
                  <w:rStyle w:val="Hyperlink"/>
                  <w:i/>
                  <w:iCs/>
                  <w:sz w:val="20"/>
                  <w:szCs w:val="20"/>
                  <w:lang w:val="es-ES"/>
                </w:rPr>
                <w:t>Development</w:t>
              </w:r>
              <w:proofErr w:type="spellEnd"/>
              <w:r w:rsidR="00D00C61" w:rsidRPr="00BB50DA">
                <w:rPr>
                  <w:rStyle w:val="Hyperlink"/>
                  <w:i/>
                  <w:iCs/>
                  <w:sz w:val="20"/>
                  <w:szCs w:val="20"/>
                  <w:lang w:val="es-ES"/>
                </w:rPr>
                <w:t xml:space="preserve"> in </w:t>
              </w:r>
              <w:proofErr w:type="spellStart"/>
              <w:r w:rsidR="00D00C61" w:rsidRPr="00BB50DA">
                <w:rPr>
                  <w:rStyle w:val="Hyperlink"/>
                  <w:i/>
                  <w:iCs/>
                  <w:sz w:val="20"/>
                  <w:szCs w:val="20"/>
                  <w:lang w:val="es-ES"/>
                </w:rPr>
                <w:t>National</w:t>
              </w:r>
              <w:proofErr w:type="spellEnd"/>
              <w:r w:rsidR="00D00C61" w:rsidRPr="00BB50DA">
                <w:rPr>
                  <w:rStyle w:val="Hyperlink"/>
                  <w:i/>
                  <w:iCs/>
                  <w:sz w:val="20"/>
                  <w:szCs w:val="20"/>
                  <w:lang w:val="es-ES"/>
                </w:rPr>
                <w:t xml:space="preserve"> </w:t>
              </w:r>
              <w:proofErr w:type="spellStart"/>
              <w:r w:rsidR="00D00C61" w:rsidRPr="00BB50DA">
                <w:rPr>
                  <w:rStyle w:val="Hyperlink"/>
                  <w:i/>
                  <w:iCs/>
                  <w:sz w:val="20"/>
                  <w:szCs w:val="20"/>
                  <w:lang w:val="es-ES"/>
                </w:rPr>
                <w:t>Meteorological</w:t>
              </w:r>
              <w:proofErr w:type="spellEnd"/>
              <w:r w:rsidR="00D00C61" w:rsidRPr="00BB50DA">
                <w:rPr>
                  <w:rStyle w:val="Hyperlink"/>
                  <w:i/>
                  <w:iCs/>
                  <w:sz w:val="20"/>
                  <w:szCs w:val="20"/>
                  <w:lang w:val="es-ES"/>
                </w:rPr>
                <w:t xml:space="preserve"> and </w:t>
              </w:r>
              <w:proofErr w:type="spellStart"/>
              <w:r w:rsidR="00D00C61" w:rsidRPr="00BB50DA">
                <w:rPr>
                  <w:rStyle w:val="Hyperlink"/>
                  <w:i/>
                  <w:iCs/>
                  <w:sz w:val="20"/>
                  <w:szCs w:val="20"/>
                  <w:lang w:val="es-ES"/>
                </w:rPr>
                <w:t>Hydrological</w:t>
              </w:r>
              <w:proofErr w:type="spellEnd"/>
              <w:r w:rsidR="00D00C61" w:rsidRPr="00BB50DA">
                <w:rPr>
                  <w:rStyle w:val="Hyperlink"/>
                  <w:i/>
                  <w:iCs/>
                  <w:sz w:val="20"/>
                  <w:szCs w:val="20"/>
                  <w:lang w:val="es-ES"/>
                </w:rPr>
                <w:t xml:space="preserve"> </w:t>
              </w:r>
              <w:proofErr w:type="spellStart"/>
              <w:r w:rsidR="00D00C61" w:rsidRPr="00BB50DA">
                <w:rPr>
                  <w:rStyle w:val="Hyperlink"/>
                  <w:i/>
                  <w:iCs/>
                  <w:sz w:val="20"/>
                  <w:szCs w:val="20"/>
                  <w:lang w:val="es-ES"/>
                </w:rPr>
                <w:t>Services</w:t>
              </w:r>
              <w:proofErr w:type="spellEnd"/>
            </w:hyperlink>
            <w:r w:rsidR="00D00C61" w:rsidRPr="003E02A9">
              <w:rPr>
                <w:sz w:val="20"/>
                <w:szCs w:val="20"/>
                <w:lang w:val="es-ES"/>
              </w:rPr>
              <w:t xml:space="preserve"> (ETR</w:t>
            </w:r>
            <w:r w:rsidR="00D00C61" w:rsidRPr="003E02A9">
              <w:rPr>
                <w:sz w:val="20"/>
                <w:szCs w:val="20"/>
                <w:lang w:val="es-ES"/>
              </w:rPr>
              <w:noBreakHyphen/>
              <w:t>No. 24) (Compendio temático para favorecer el desarrollo de las capacidades de gestión en los Servicios Meteorológicos e Hidrológicos Nacionales)</w:t>
            </w:r>
          </w:p>
        </w:tc>
      </w:tr>
    </w:tbl>
    <w:p w14:paraId="02DE9E92" w14:textId="77777777" w:rsidR="00712633" w:rsidRPr="00E4666D" w:rsidRDefault="00712633" w:rsidP="00EA0A2B">
      <w:pPr>
        <w:spacing w:before="240" w:after="120"/>
        <w:rPr>
          <w:rFonts w:eastAsia="Calibri"/>
          <w:color w:val="auto"/>
          <w:lang w:val="es-ES"/>
        </w:rPr>
      </w:pPr>
      <w:bookmarkStart w:id="51" w:name="_Toc107569113"/>
      <w:bookmarkStart w:id="52" w:name="_Toc1575046397"/>
      <w:bookmarkStart w:id="53" w:name="_Toc1092487583"/>
      <w:bookmarkStart w:id="54" w:name="_Toc354346657"/>
      <w:r>
        <w:rPr>
          <w:b/>
          <w:bCs/>
          <w:lang w:val="es-ES"/>
        </w:rPr>
        <w:t>Módulo 5:</w:t>
      </w:r>
      <w:r>
        <w:rPr>
          <w:lang w:val="es-ES"/>
        </w:rPr>
        <w:t xml:space="preserve"> </w:t>
      </w:r>
      <w:r>
        <w:rPr>
          <w:b/>
          <w:bCs/>
          <w:lang w:val="es-ES"/>
        </w:rPr>
        <w:t>Gestión de riesgos</w:t>
      </w:r>
      <w:bookmarkEnd w:id="51"/>
      <w:bookmarkEnd w:id="52"/>
      <w:bookmarkEnd w:id="53"/>
      <w:bookmarkEnd w:id="54"/>
    </w:p>
    <w:p w14:paraId="31760A67" w14:textId="77777777" w:rsidR="00712633" w:rsidRPr="00E4666D" w:rsidRDefault="00712633" w:rsidP="00EA0A2B">
      <w:pPr>
        <w:spacing w:after="200"/>
        <w:rPr>
          <w:rFonts w:eastAsia="Segoe UI" w:cs="Segoe UI"/>
          <w:color w:val="auto"/>
          <w:lang w:val="es-ES"/>
        </w:rPr>
      </w:pPr>
      <w:r>
        <w:rPr>
          <w:lang w:val="es-ES"/>
        </w:rPr>
        <w:t>La gestión proactiva de riesgos consiste en tratar de anticiparse a las desviaciones del plan y aplicar medidas de mitigación de modo que se alcancen los objetivos a pesar de los riesgos. Si se materializan los riesgos, se puede impedir que la infraestructura satisfaga los requisitos especificados, que la implementación de la infraestructura de observaciones modernizada se lleve a cabo correctamente y que las operaciones sean sostenibles.</w:t>
      </w:r>
    </w:p>
    <w:p w14:paraId="1879D037" w14:textId="0C9F0C4F" w:rsidR="00712633" w:rsidRPr="00E4666D" w:rsidRDefault="00712633" w:rsidP="00EA0A2B">
      <w:pPr>
        <w:spacing w:after="120"/>
        <w:rPr>
          <w:rFonts w:eastAsia="Segoe UI" w:cs="Segoe UI"/>
          <w:color w:val="auto"/>
          <w:lang w:val="es-ES"/>
        </w:rPr>
      </w:pPr>
      <w:r>
        <w:rPr>
          <w:lang w:val="es-ES"/>
        </w:rPr>
        <w:lastRenderedPageBreak/>
        <w:t xml:space="preserve">Los Miembros deben evaluar los riesgos operativos más </w:t>
      </w:r>
      <w:r w:rsidR="00F17552">
        <w:rPr>
          <w:lang w:val="es-ES"/>
        </w:rPr>
        <w:t>destacables</w:t>
      </w:r>
      <w:r>
        <w:rPr>
          <w:lang w:val="es-ES"/>
        </w:rPr>
        <w:t xml:space="preserve"> y previsibles </w:t>
      </w:r>
      <w:r w:rsidR="00F17552">
        <w:rPr>
          <w:lang w:val="es-ES"/>
        </w:rPr>
        <w:t>en el marco de</w:t>
      </w:r>
      <w:r>
        <w:rPr>
          <w:lang w:val="es-ES"/>
        </w:rPr>
        <w:t xml:space="preserve"> la aplicación del plan y definir las medidas de mitigación. Para ello, la matriz de riesgos y control debe incluir lo siguiente:</w:t>
      </w:r>
    </w:p>
    <w:p w14:paraId="14357A57" w14:textId="77777777" w:rsidR="00712633" w:rsidRPr="003530E7" w:rsidRDefault="00712633" w:rsidP="00EA0A2B">
      <w:pPr>
        <w:numPr>
          <w:ilvl w:val="0"/>
          <w:numId w:val="19"/>
        </w:numPr>
        <w:tabs>
          <w:tab w:val="clear" w:pos="720"/>
        </w:tabs>
        <w:spacing w:after="120"/>
        <w:ind w:left="1134" w:hanging="567"/>
        <w:rPr>
          <w:rFonts w:eastAsia="Segoe UI" w:cs="Segoe UI"/>
          <w:color w:val="auto"/>
        </w:rPr>
      </w:pPr>
      <w:r>
        <w:rPr>
          <w:lang w:val="es-ES"/>
        </w:rPr>
        <w:t>Riesgos identificados y efectos</w:t>
      </w:r>
    </w:p>
    <w:p w14:paraId="62A32376" w14:textId="77777777" w:rsidR="00712633" w:rsidRPr="003530E7" w:rsidRDefault="00712633" w:rsidP="00EA0A2B">
      <w:pPr>
        <w:numPr>
          <w:ilvl w:val="0"/>
          <w:numId w:val="19"/>
        </w:numPr>
        <w:tabs>
          <w:tab w:val="clear" w:pos="720"/>
        </w:tabs>
        <w:spacing w:after="120"/>
        <w:ind w:left="1134" w:hanging="567"/>
        <w:rPr>
          <w:rFonts w:eastAsia="Segoe UI" w:cs="Segoe UI"/>
          <w:color w:val="auto"/>
        </w:rPr>
      </w:pPr>
      <w:r>
        <w:rPr>
          <w:lang w:val="es-ES"/>
        </w:rPr>
        <w:t>Categoría de riesgo</w:t>
      </w:r>
    </w:p>
    <w:p w14:paraId="27944720" w14:textId="77777777" w:rsidR="00712633" w:rsidRPr="00E4666D" w:rsidRDefault="00712633" w:rsidP="00EA0A2B">
      <w:pPr>
        <w:numPr>
          <w:ilvl w:val="0"/>
          <w:numId w:val="19"/>
        </w:numPr>
        <w:tabs>
          <w:tab w:val="clear" w:pos="720"/>
        </w:tabs>
        <w:spacing w:after="120"/>
        <w:ind w:left="1134" w:hanging="567"/>
        <w:rPr>
          <w:rFonts w:eastAsia="Segoe UI" w:cs="Segoe UI"/>
          <w:color w:val="auto"/>
          <w:lang w:val="es-ES"/>
        </w:rPr>
      </w:pPr>
      <w:r>
        <w:rPr>
          <w:lang w:val="es-ES"/>
        </w:rPr>
        <w:t>Índice de probabilidad e impacto e impacto total</w:t>
      </w:r>
    </w:p>
    <w:p w14:paraId="7E79679E" w14:textId="77777777" w:rsidR="00712633" w:rsidRPr="003530E7" w:rsidRDefault="00712633" w:rsidP="00EA0A2B">
      <w:pPr>
        <w:numPr>
          <w:ilvl w:val="0"/>
          <w:numId w:val="19"/>
        </w:numPr>
        <w:tabs>
          <w:tab w:val="clear" w:pos="720"/>
        </w:tabs>
        <w:spacing w:after="120"/>
        <w:ind w:left="1134" w:hanging="567"/>
        <w:rPr>
          <w:rFonts w:eastAsia="Segoe UI" w:cs="Segoe UI"/>
          <w:color w:val="auto"/>
        </w:rPr>
      </w:pPr>
      <w:r>
        <w:rPr>
          <w:lang w:val="es-ES"/>
        </w:rPr>
        <w:t>Medida de mitigación</w:t>
      </w:r>
    </w:p>
    <w:p w14:paraId="1289262A" w14:textId="77777777" w:rsidR="00712633" w:rsidRPr="003530E7" w:rsidRDefault="00712633" w:rsidP="00EA0A2B">
      <w:pPr>
        <w:numPr>
          <w:ilvl w:val="0"/>
          <w:numId w:val="19"/>
        </w:numPr>
        <w:tabs>
          <w:tab w:val="clear" w:pos="720"/>
        </w:tabs>
        <w:spacing w:after="120"/>
        <w:ind w:left="1134" w:hanging="567"/>
        <w:rPr>
          <w:rFonts w:eastAsia="Segoe UI" w:cs="Segoe UI"/>
          <w:color w:val="auto"/>
        </w:rPr>
      </w:pPr>
      <w:r>
        <w:rPr>
          <w:lang w:val="es-ES"/>
        </w:rPr>
        <w:t>Responsabilidad</w:t>
      </w:r>
    </w:p>
    <w:p w14:paraId="3289E636" w14:textId="77777777" w:rsidR="00B869D1" w:rsidRPr="00E4666D" w:rsidRDefault="00B869D1" w:rsidP="00EA0A2B">
      <w:pPr>
        <w:pStyle w:val="Bodytext"/>
        <w:rPr>
          <w:lang w:val="es-ES"/>
        </w:rPr>
      </w:pPr>
      <w:r>
        <w:rPr>
          <w:lang w:val="es-ES"/>
        </w:rPr>
        <w:t>Las actividades y los resultados del Módulo 5 se resumen en el cuadro 5.11.</w:t>
      </w:r>
    </w:p>
    <w:p w14:paraId="6F516DFF" w14:textId="200554A9" w:rsidR="00233607" w:rsidRPr="00E4666D" w:rsidRDefault="00233607" w:rsidP="00FB7E6A">
      <w:pPr>
        <w:spacing w:after="240" w:line="240" w:lineRule="exact"/>
        <w:jc w:val="center"/>
        <w:rPr>
          <w:b/>
          <w:bCs/>
          <w:lang w:val="es-ES"/>
        </w:rPr>
      </w:pPr>
      <w:r>
        <w:rPr>
          <w:b/>
          <w:bCs/>
          <w:lang w:val="es-ES"/>
        </w:rPr>
        <w:t>Cuadro 5.11.</w:t>
      </w:r>
      <w:r>
        <w:rPr>
          <w:lang w:val="es-ES"/>
        </w:rPr>
        <w:t xml:space="preserve"> </w:t>
      </w:r>
      <w:r>
        <w:rPr>
          <w:b/>
          <w:bCs/>
          <w:lang w:val="es-ES"/>
        </w:rPr>
        <w:t>Actividades y resultados del Módulo 5</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A0" w:firstRow="1" w:lastRow="0" w:firstColumn="1" w:lastColumn="0" w:noHBand="1" w:noVBand="1"/>
      </w:tblPr>
      <w:tblGrid>
        <w:gridCol w:w="1113"/>
        <w:gridCol w:w="2284"/>
        <w:gridCol w:w="3544"/>
        <w:gridCol w:w="2688"/>
      </w:tblGrid>
      <w:tr w:rsidR="00712633" w:rsidRPr="003530E7" w14:paraId="36DE7E0D" w14:textId="77777777" w:rsidTr="009120DC">
        <w:trPr>
          <w:trHeight w:val="480"/>
        </w:trPr>
        <w:tc>
          <w:tcPr>
            <w:tcW w:w="1113" w:type="dxa"/>
            <w:vMerge w:val="restart"/>
            <w:shd w:val="clear" w:color="auto" w:fill="F2F2F2" w:themeFill="background1" w:themeFillShade="F2"/>
            <w:vAlign w:val="center"/>
          </w:tcPr>
          <w:p w14:paraId="21F5BB50" w14:textId="77777777" w:rsidR="00712633" w:rsidRPr="002E1061" w:rsidRDefault="00712633" w:rsidP="00C90BAB">
            <w:pPr>
              <w:spacing w:before="60" w:after="60"/>
              <w:jc w:val="center"/>
              <w:rPr>
                <w:rFonts w:eastAsia="Segoe UI" w:cs="Segoe UI"/>
                <w:b/>
                <w:bCs/>
                <w:color w:val="auto"/>
                <w:sz w:val="20"/>
                <w:szCs w:val="20"/>
              </w:rPr>
            </w:pPr>
            <w:r w:rsidRPr="002E1061">
              <w:rPr>
                <w:b/>
                <w:bCs/>
                <w:sz w:val="20"/>
                <w:szCs w:val="20"/>
                <w:lang w:val="es-ES"/>
              </w:rPr>
              <w:t>Punto</w:t>
            </w:r>
          </w:p>
        </w:tc>
        <w:tc>
          <w:tcPr>
            <w:tcW w:w="2284" w:type="dxa"/>
            <w:vMerge w:val="restart"/>
            <w:shd w:val="clear" w:color="auto" w:fill="F2F2F2" w:themeFill="background1" w:themeFillShade="F2"/>
            <w:vAlign w:val="center"/>
          </w:tcPr>
          <w:p w14:paraId="6B1FA049" w14:textId="77777777" w:rsidR="00712633" w:rsidRPr="002E1061" w:rsidRDefault="00712633" w:rsidP="00C90BAB">
            <w:pPr>
              <w:spacing w:before="60" w:after="60"/>
              <w:jc w:val="center"/>
              <w:rPr>
                <w:rFonts w:eastAsia="Segoe UI" w:cs="Segoe UI"/>
                <w:b/>
                <w:bCs/>
                <w:color w:val="auto"/>
                <w:sz w:val="20"/>
                <w:szCs w:val="20"/>
              </w:rPr>
            </w:pPr>
            <w:r w:rsidRPr="002E1061">
              <w:rPr>
                <w:b/>
                <w:bCs/>
                <w:sz w:val="20"/>
                <w:szCs w:val="20"/>
                <w:lang w:val="es-ES"/>
              </w:rPr>
              <w:t>Actividad</w:t>
            </w:r>
          </w:p>
        </w:tc>
        <w:tc>
          <w:tcPr>
            <w:tcW w:w="3544" w:type="dxa"/>
            <w:vMerge w:val="restart"/>
            <w:shd w:val="clear" w:color="auto" w:fill="F2F2F2" w:themeFill="background1" w:themeFillShade="F2"/>
            <w:vAlign w:val="center"/>
          </w:tcPr>
          <w:p w14:paraId="5327D522" w14:textId="057AE815" w:rsidR="00712633" w:rsidRPr="002E1061" w:rsidRDefault="00712633" w:rsidP="00C90BAB">
            <w:pPr>
              <w:spacing w:before="60" w:after="60"/>
              <w:jc w:val="center"/>
              <w:rPr>
                <w:rFonts w:eastAsia="Segoe UI" w:cs="Segoe UI"/>
                <w:b/>
                <w:bCs/>
                <w:color w:val="auto"/>
                <w:sz w:val="20"/>
                <w:szCs w:val="20"/>
              </w:rPr>
            </w:pPr>
            <w:r w:rsidRPr="002E1061">
              <w:rPr>
                <w:b/>
                <w:bCs/>
                <w:sz w:val="20"/>
                <w:szCs w:val="20"/>
                <w:lang w:val="es-ES"/>
              </w:rPr>
              <w:t>Resultados</w:t>
            </w:r>
          </w:p>
        </w:tc>
        <w:tc>
          <w:tcPr>
            <w:tcW w:w="2688" w:type="dxa"/>
            <w:vMerge w:val="restart"/>
            <w:shd w:val="clear" w:color="auto" w:fill="F2F2F2" w:themeFill="background1" w:themeFillShade="F2"/>
            <w:vAlign w:val="center"/>
          </w:tcPr>
          <w:p w14:paraId="3A284B53" w14:textId="68272BEB" w:rsidR="00712633" w:rsidRPr="002E1061" w:rsidRDefault="00712633" w:rsidP="00C90BAB">
            <w:pPr>
              <w:spacing w:before="60" w:after="60"/>
              <w:jc w:val="center"/>
              <w:rPr>
                <w:rFonts w:eastAsia="Segoe UI" w:cs="Segoe UI"/>
                <w:b/>
                <w:bCs/>
                <w:color w:val="auto"/>
                <w:sz w:val="20"/>
                <w:szCs w:val="20"/>
              </w:rPr>
            </w:pPr>
            <w:r w:rsidRPr="002E1061">
              <w:rPr>
                <w:b/>
                <w:bCs/>
                <w:sz w:val="20"/>
                <w:szCs w:val="20"/>
                <w:lang w:val="es-ES"/>
              </w:rPr>
              <w:t xml:space="preserve">Material de orientación </w:t>
            </w:r>
            <w:r w:rsidR="000E2B90" w:rsidRPr="000E2B90">
              <w:rPr>
                <w:b/>
                <w:bCs/>
                <w:sz w:val="20"/>
                <w:szCs w:val="20"/>
                <w:lang w:val="es-ES"/>
              </w:rPr>
              <w:t>correspondiente</w:t>
            </w:r>
          </w:p>
        </w:tc>
      </w:tr>
      <w:tr w:rsidR="00D00E55" w:rsidRPr="003530E7" w14:paraId="6652E78D" w14:textId="77777777" w:rsidTr="009120DC">
        <w:trPr>
          <w:trHeight w:val="363"/>
        </w:trPr>
        <w:tc>
          <w:tcPr>
            <w:tcW w:w="1113" w:type="dxa"/>
            <w:vMerge/>
            <w:shd w:val="clear" w:color="auto" w:fill="F2F2F2" w:themeFill="background1" w:themeFillShade="F2"/>
          </w:tcPr>
          <w:p w14:paraId="10969CD4" w14:textId="77777777" w:rsidR="00712633" w:rsidRPr="002E1061" w:rsidRDefault="00712633" w:rsidP="00C90BAB">
            <w:pPr>
              <w:spacing w:before="60" w:after="60"/>
              <w:rPr>
                <w:rFonts w:eastAsia="Calibri"/>
                <w:color w:val="auto"/>
                <w:sz w:val="20"/>
                <w:szCs w:val="20"/>
              </w:rPr>
            </w:pPr>
          </w:p>
        </w:tc>
        <w:tc>
          <w:tcPr>
            <w:tcW w:w="2284" w:type="dxa"/>
            <w:vMerge/>
            <w:shd w:val="clear" w:color="auto" w:fill="F2F2F2" w:themeFill="background1" w:themeFillShade="F2"/>
          </w:tcPr>
          <w:p w14:paraId="7D0B3E43" w14:textId="77777777" w:rsidR="00712633" w:rsidRPr="002E1061" w:rsidRDefault="00712633" w:rsidP="00C90BAB">
            <w:pPr>
              <w:spacing w:before="60" w:after="60"/>
              <w:rPr>
                <w:rFonts w:eastAsia="Calibri"/>
                <w:color w:val="auto"/>
                <w:sz w:val="20"/>
                <w:szCs w:val="20"/>
              </w:rPr>
            </w:pPr>
          </w:p>
        </w:tc>
        <w:tc>
          <w:tcPr>
            <w:tcW w:w="3544" w:type="dxa"/>
            <w:vMerge/>
            <w:shd w:val="clear" w:color="auto" w:fill="F2F2F2" w:themeFill="background1" w:themeFillShade="F2"/>
          </w:tcPr>
          <w:p w14:paraId="33609AF5" w14:textId="77777777" w:rsidR="00712633" w:rsidRPr="002E1061" w:rsidRDefault="00712633" w:rsidP="00C90BAB">
            <w:pPr>
              <w:spacing w:before="60" w:after="60"/>
              <w:rPr>
                <w:rFonts w:eastAsia="Calibri"/>
                <w:color w:val="auto"/>
                <w:sz w:val="20"/>
                <w:szCs w:val="20"/>
              </w:rPr>
            </w:pPr>
          </w:p>
        </w:tc>
        <w:tc>
          <w:tcPr>
            <w:tcW w:w="2688" w:type="dxa"/>
            <w:vMerge/>
            <w:shd w:val="clear" w:color="auto" w:fill="F2F2F2" w:themeFill="background1" w:themeFillShade="F2"/>
          </w:tcPr>
          <w:p w14:paraId="1C258458" w14:textId="77777777" w:rsidR="00712633" w:rsidRPr="002E1061" w:rsidRDefault="00712633" w:rsidP="00C90BAB">
            <w:pPr>
              <w:spacing w:before="60" w:after="60"/>
              <w:rPr>
                <w:rFonts w:eastAsia="Calibri"/>
                <w:color w:val="auto"/>
                <w:sz w:val="20"/>
                <w:szCs w:val="20"/>
              </w:rPr>
            </w:pPr>
          </w:p>
        </w:tc>
      </w:tr>
      <w:tr w:rsidR="00712633" w:rsidRPr="00AE4BEE" w14:paraId="73E23475" w14:textId="77777777" w:rsidTr="009120DC">
        <w:trPr>
          <w:trHeight w:val="642"/>
        </w:trPr>
        <w:tc>
          <w:tcPr>
            <w:tcW w:w="1113" w:type="dxa"/>
            <w:shd w:val="clear" w:color="auto" w:fill="auto"/>
          </w:tcPr>
          <w:p w14:paraId="158A0649" w14:textId="77777777" w:rsidR="00712633" w:rsidRPr="002E1061" w:rsidRDefault="00712633" w:rsidP="00C90BAB">
            <w:pPr>
              <w:spacing w:before="60" w:after="60"/>
              <w:rPr>
                <w:rFonts w:eastAsia="Segoe UI" w:cs="Segoe UI"/>
                <w:color w:val="auto"/>
                <w:sz w:val="20"/>
                <w:szCs w:val="20"/>
              </w:rPr>
            </w:pPr>
            <w:r w:rsidRPr="002E1061">
              <w:rPr>
                <w:sz w:val="20"/>
                <w:szCs w:val="20"/>
                <w:lang w:val="es-ES"/>
              </w:rPr>
              <w:t>5.1</w:t>
            </w:r>
          </w:p>
        </w:tc>
        <w:tc>
          <w:tcPr>
            <w:tcW w:w="2284" w:type="dxa"/>
            <w:shd w:val="clear" w:color="auto" w:fill="auto"/>
          </w:tcPr>
          <w:p w14:paraId="6B1FCDDF" w14:textId="77777777" w:rsidR="00712633" w:rsidRPr="002E1061" w:rsidRDefault="00712633" w:rsidP="00C90BAB">
            <w:pPr>
              <w:spacing w:before="60" w:after="60"/>
              <w:rPr>
                <w:rFonts w:eastAsia="Segoe UI" w:cs="Segoe UI"/>
                <w:color w:val="auto"/>
                <w:sz w:val="20"/>
                <w:szCs w:val="20"/>
                <w:lang w:val="es-ES"/>
              </w:rPr>
            </w:pPr>
            <w:r w:rsidRPr="002E1061">
              <w:rPr>
                <w:sz w:val="20"/>
                <w:szCs w:val="20"/>
                <w:lang w:val="es-ES"/>
              </w:rPr>
              <w:t>Evaluación de riesgos operativos para la aplicación del plan y definición de medidas de mitigación</w:t>
            </w:r>
          </w:p>
        </w:tc>
        <w:tc>
          <w:tcPr>
            <w:tcW w:w="3544" w:type="dxa"/>
            <w:shd w:val="clear" w:color="auto" w:fill="auto"/>
          </w:tcPr>
          <w:p w14:paraId="3E29DC6C" w14:textId="368934BA" w:rsidR="00712633" w:rsidRPr="002E1061" w:rsidRDefault="00712633" w:rsidP="00D4732D">
            <w:pPr>
              <w:numPr>
                <w:ilvl w:val="0"/>
                <w:numId w:val="17"/>
              </w:numPr>
              <w:spacing w:before="60" w:after="60"/>
              <w:ind w:left="357" w:right="-159" w:hanging="357"/>
              <w:rPr>
                <w:rFonts w:eastAsia="Segoe UI" w:cs="Segoe UI"/>
                <w:color w:val="auto"/>
                <w:sz w:val="20"/>
                <w:szCs w:val="20"/>
                <w:lang w:val="es-ES"/>
              </w:rPr>
            </w:pPr>
            <w:r w:rsidRPr="002E1061">
              <w:rPr>
                <w:sz w:val="20"/>
                <w:szCs w:val="20"/>
                <w:lang w:val="es-ES"/>
              </w:rPr>
              <w:t>Identificación de la matriz de riesgos y control para gestionar los riesgos y las actividades de mitigación propuestas, a saber</w:t>
            </w:r>
            <w:r w:rsidR="005F00FE">
              <w:rPr>
                <w:sz w:val="20"/>
                <w:szCs w:val="20"/>
                <w:lang w:val="es-ES"/>
              </w:rPr>
              <w:t>:</w:t>
            </w:r>
          </w:p>
          <w:p w14:paraId="66F9F12D" w14:textId="77777777" w:rsidR="00712633" w:rsidRPr="002E1061" w:rsidRDefault="00712633" w:rsidP="00D4732D">
            <w:pPr>
              <w:pStyle w:val="ListParagraph"/>
              <w:numPr>
                <w:ilvl w:val="0"/>
                <w:numId w:val="28"/>
              </w:numPr>
              <w:spacing w:before="60" w:after="60" w:line="240" w:lineRule="auto"/>
              <w:ind w:right="-159"/>
              <w:rPr>
                <w:rFonts w:ascii="Verdana" w:eastAsia="Segoe UI" w:hAnsi="Verdana" w:cs="Segoe UI"/>
                <w:color w:val="auto"/>
                <w:sz w:val="20"/>
                <w:szCs w:val="20"/>
              </w:rPr>
            </w:pPr>
            <w:r w:rsidRPr="002E1061">
              <w:rPr>
                <w:rFonts w:ascii="Verdana" w:hAnsi="Verdana"/>
                <w:sz w:val="20"/>
                <w:szCs w:val="20"/>
                <w:lang w:val="es-ES"/>
              </w:rPr>
              <w:t>Identificación de riesgos operativos</w:t>
            </w:r>
          </w:p>
          <w:p w14:paraId="1DA6324D" w14:textId="77777777" w:rsidR="00712633" w:rsidRPr="002E1061" w:rsidRDefault="00712633" w:rsidP="00D4732D">
            <w:pPr>
              <w:pStyle w:val="ListParagraph"/>
              <w:numPr>
                <w:ilvl w:val="0"/>
                <w:numId w:val="28"/>
              </w:numPr>
              <w:spacing w:before="60" w:after="60" w:line="240" w:lineRule="auto"/>
              <w:ind w:right="-159"/>
              <w:rPr>
                <w:rFonts w:ascii="Verdana" w:eastAsia="Segoe UI" w:hAnsi="Verdana" w:cs="Segoe UI"/>
                <w:color w:val="auto"/>
                <w:sz w:val="20"/>
                <w:szCs w:val="20"/>
              </w:rPr>
            </w:pPr>
            <w:r w:rsidRPr="002E1061">
              <w:rPr>
                <w:rFonts w:ascii="Verdana" w:hAnsi="Verdana"/>
                <w:sz w:val="20"/>
                <w:szCs w:val="20"/>
                <w:lang w:val="es-ES"/>
              </w:rPr>
              <w:t>Análisis de riesgos</w:t>
            </w:r>
          </w:p>
          <w:p w14:paraId="0BE47D7B" w14:textId="77777777" w:rsidR="00712633" w:rsidRPr="002E1061" w:rsidRDefault="00712633" w:rsidP="00D4732D">
            <w:pPr>
              <w:pStyle w:val="ListParagraph"/>
              <w:numPr>
                <w:ilvl w:val="0"/>
                <w:numId w:val="28"/>
              </w:numPr>
              <w:spacing w:before="60" w:after="60" w:line="240" w:lineRule="auto"/>
              <w:ind w:right="-159"/>
              <w:rPr>
                <w:rFonts w:ascii="Verdana" w:eastAsia="Segoe UI" w:hAnsi="Verdana" w:cs="Segoe UI"/>
                <w:color w:val="auto"/>
                <w:sz w:val="20"/>
                <w:szCs w:val="20"/>
              </w:rPr>
            </w:pPr>
            <w:r w:rsidRPr="002E1061">
              <w:rPr>
                <w:rFonts w:ascii="Verdana" w:hAnsi="Verdana"/>
                <w:sz w:val="20"/>
                <w:szCs w:val="20"/>
                <w:lang w:val="es-ES"/>
              </w:rPr>
              <w:t>Medidas para mitigar los riesgos</w:t>
            </w:r>
          </w:p>
          <w:p w14:paraId="57AE926D" w14:textId="140B4A50" w:rsidR="00712633" w:rsidRPr="002E1061" w:rsidRDefault="00712633" w:rsidP="00D4732D">
            <w:pPr>
              <w:pStyle w:val="ListParagraph"/>
              <w:numPr>
                <w:ilvl w:val="0"/>
                <w:numId w:val="28"/>
              </w:numPr>
              <w:spacing w:before="60" w:after="60" w:line="240" w:lineRule="auto"/>
              <w:ind w:right="-159"/>
              <w:rPr>
                <w:rFonts w:ascii="Verdana" w:eastAsia="Yu Mincho" w:hAnsi="Verdana"/>
                <w:color w:val="auto"/>
                <w:sz w:val="20"/>
                <w:szCs w:val="20"/>
                <w:lang w:val="es-ES"/>
              </w:rPr>
            </w:pPr>
            <w:r w:rsidRPr="002E1061">
              <w:rPr>
                <w:rFonts w:ascii="Verdana" w:hAnsi="Verdana"/>
                <w:sz w:val="20"/>
                <w:szCs w:val="20"/>
                <w:lang w:val="es-ES"/>
              </w:rPr>
              <w:t xml:space="preserve">Seguimiento y evaluación de los riesgos tras la aplicación de </w:t>
            </w:r>
            <w:r w:rsidR="00DB5371">
              <w:rPr>
                <w:rFonts w:ascii="Verdana" w:hAnsi="Verdana"/>
                <w:sz w:val="20"/>
                <w:szCs w:val="20"/>
                <w:lang w:val="es-ES"/>
              </w:rPr>
              <w:t xml:space="preserve">las </w:t>
            </w:r>
            <w:r w:rsidRPr="002E1061">
              <w:rPr>
                <w:rFonts w:ascii="Verdana" w:hAnsi="Verdana"/>
                <w:sz w:val="20"/>
                <w:szCs w:val="20"/>
                <w:lang w:val="es-ES"/>
              </w:rPr>
              <w:t>medidas de mitigación</w:t>
            </w:r>
          </w:p>
        </w:tc>
        <w:tc>
          <w:tcPr>
            <w:tcW w:w="2688" w:type="dxa"/>
            <w:shd w:val="clear" w:color="auto" w:fill="auto"/>
          </w:tcPr>
          <w:p w14:paraId="5F344905" w14:textId="5151E763" w:rsidR="00712633" w:rsidRPr="002E1061" w:rsidRDefault="008C2CFE" w:rsidP="00C90BAB">
            <w:pPr>
              <w:spacing w:before="60" w:after="60"/>
              <w:rPr>
                <w:rFonts w:eastAsia="Segoe UI" w:cs="Segoe UI"/>
                <w:color w:val="auto"/>
                <w:sz w:val="20"/>
                <w:szCs w:val="20"/>
                <w:lang w:val="es-ES"/>
              </w:rPr>
            </w:pPr>
            <w:hyperlink r:id="rId66" w:history="1">
              <w:r w:rsidR="00D00C61" w:rsidRPr="00BB50DA">
                <w:rPr>
                  <w:rStyle w:val="Hyperlink"/>
                  <w:i/>
                  <w:iCs/>
                  <w:sz w:val="20"/>
                  <w:szCs w:val="20"/>
                  <w:lang w:val="es-ES"/>
                </w:rPr>
                <w:t>Guía para la aplicación de sistemas de gestión de la calidad para los Servicios Meteorológicos e Hidrológicos Nacionales y otros proveedore</w:t>
              </w:r>
              <w:r w:rsidR="00D00C61" w:rsidRPr="00BB50DA">
                <w:rPr>
                  <w:rStyle w:val="Hyperlink"/>
                  <w:i/>
                  <w:iCs/>
                  <w:sz w:val="20"/>
                  <w:szCs w:val="20"/>
                  <w:lang w:val="es-ES"/>
                </w:rPr>
                <w:t>s</w:t>
              </w:r>
              <w:r w:rsidR="00D00C61" w:rsidRPr="00BB50DA">
                <w:rPr>
                  <w:rStyle w:val="Hyperlink"/>
                  <w:i/>
                  <w:iCs/>
                  <w:sz w:val="20"/>
                  <w:szCs w:val="20"/>
                  <w:lang w:val="es-ES"/>
                </w:rPr>
                <w:t xml:space="preserve"> de servicios pertinentes</w:t>
              </w:r>
            </w:hyperlink>
            <w:r w:rsidR="00D00C61" w:rsidRPr="002E1061">
              <w:rPr>
                <w:sz w:val="20"/>
                <w:szCs w:val="20"/>
                <w:lang w:val="es-ES"/>
              </w:rPr>
              <w:t xml:space="preserve"> (OMM-Nº 1100). </w:t>
            </w:r>
          </w:p>
        </w:tc>
      </w:tr>
    </w:tbl>
    <w:p w14:paraId="48035F12" w14:textId="77777777" w:rsidR="00CB5BBD" w:rsidRPr="00E4666D" w:rsidRDefault="00CB5BBD" w:rsidP="00CB5BBD">
      <w:pPr>
        <w:rPr>
          <w:rFonts w:eastAsia="Segoe UI" w:cs="Segoe UI"/>
          <w:i/>
          <w:iCs/>
          <w:lang w:val="es-ES" w:eastAsia="en-GB"/>
        </w:rPr>
      </w:pPr>
      <w:bookmarkStart w:id="55" w:name="_p_F38A55C028AEAC4985D65ED55C54BBAD"/>
      <w:bookmarkStart w:id="56" w:name="_p_51A38F0B8F57D246B7A823B1B4C00941"/>
      <w:bookmarkStart w:id="57" w:name="_p_AD7CCAA413DCF34C83E1FCEBF9059EE6"/>
      <w:bookmarkStart w:id="58" w:name="_p_89ED7DFFB7972F49A0A886B1EC1D3148"/>
      <w:bookmarkStart w:id="59" w:name="_Toc107569114"/>
      <w:bookmarkEnd w:id="55"/>
      <w:bookmarkEnd w:id="56"/>
      <w:bookmarkEnd w:id="57"/>
      <w:bookmarkEnd w:id="58"/>
    </w:p>
    <w:p w14:paraId="4EAC7F5B" w14:textId="77777777" w:rsidR="00EA099A" w:rsidRDefault="00B869D1" w:rsidP="00BD3815">
      <w:pPr>
        <w:jc w:val="both"/>
        <w:rPr>
          <w:i/>
          <w:iCs/>
          <w:lang w:val="es-ES"/>
        </w:rPr>
      </w:pPr>
      <w:r>
        <w:rPr>
          <w:lang w:val="es-ES"/>
        </w:rPr>
        <w:t xml:space="preserve">En las </w:t>
      </w:r>
      <w:hyperlink r:id="rId67" w:history="1">
        <w:r w:rsidRPr="002262F8">
          <w:rPr>
            <w:rStyle w:val="Hyperlink"/>
            <w:lang w:val="es-ES"/>
          </w:rPr>
          <w:t>referencias del mater</w:t>
        </w:r>
        <w:r w:rsidRPr="002262F8">
          <w:rPr>
            <w:rStyle w:val="Hyperlink"/>
            <w:lang w:val="es-ES"/>
          </w:rPr>
          <w:t>i</w:t>
        </w:r>
        <w:r w:rsidRPr="002262F8">
          <w:rPr>
            <w:rStyle w:val="Hyperlink"/>
            <w:lang w:val="es-ES"/>
          </w:rPr>
          <w:t>al sobre la GBON</w:t>
        </w:r>
      </w:hyperlink>
      <w:r>
        <w:rPr>
          <w:lang w:val="es-ES"/>
        </w:rPr>
        <w:t xml:space="preserve"> figura una plantilla para elaborar el informe del plan de contribuciones nacionales a la GBON. </w:t>
      </w:r>
      <w:r>
        <w:rPr>
          <w:i/>
          <w:iCs/>
          <w:lang w:val="es-ES"/>
        </w:rPr>
        <w:t>(Nota editorial: se incorporará a su debido tiempo)</w:t>
      </w:r>
    </w:p>
    <w:p w14:paraId="31A9168B" w14:textId="230695C6" w:rsidR="00D4732D" w:rsidRPr="00E4666D" w:rsidRDefault="00B869D1" w:rsidP="00BD3815">
      <w:pPr>
        <w:jc w:val="both"/>
        <w:rPr>
          <w:rStyle w:val="normaltextrun"/>
          <w:lang w:val="es-ES"/>
        </w:rPr>
      </w:pPr>
      <w:r>
        <w:rPr>
          <w:lang w:val="es-ES"/>
        </w:rPr>
        <w:t xml:space="preserve"> </w:t>
      </w:r>
    </w:p>
    <w:bookmarkEnd w:id="59"/>
    <w:p w14:paraId="25C51FC2" w14:textId="332E80FF" w:rsidR="008410C9" w:rsidRPr="00E4666D" w:rsidRDefault="00C97B4E" w:rsidP="00BD3815">
      <w:pPr>
        <w:pStyle w:val="Chapterhead"/>
        <w:spacing w:after="240" w:line="240" w:lineRule="auto"/>
        <w:jc w:val="both"/>
        <w:outlineLvl w:val="1"/>
        <w:rPr>
          <w:lang w:val="es-ES"/>
        </w:rPr>
      </w:pPr>
      <w:r>
        <w:rPr>
          <w:bCs/>
          <w:lang w:val="es-ES"/>
        </w:rPr>
        <w:t>6.</w:t>
      </w:r>
      <w:r>
        <w:rPr>
          <w:lang w:val="es-ES"/>
        </w:rPr>
        <w:t xml:space="preserve"> </w:t>
      </w:r>
      <w:r>
        <w:rPr>
          <w:lang w:val="es-ES"/>
        </w:rPr>
        <w:tab/>
      </w:r>
      <w:r>
        <w:rPr>
          <w:bCs/>
          <w:lang w:val="es-ES"/>
        </w:rPr>
        <w:t>REGLAS PARA LA NOTIFICACIÓN DE PARÁMETROS DE LA GBON</w:t>
      </w:r>
    </w:p>
    <w:p w14:paraId="16602820" w14:textId="77777777" w:rsidR="008410C9" w:rsidRPr="00E4666D" w:rsidRDefault="00C97B4E" w:rsidP="00BD3815">
      <w:pPr>
        <w:pStyle w:val="Heading10"/>
        <w:spacing w:before="240" w:after="240" w:line="240" w:lineRule="auto"/>
        <w:jc w:val="both"/>
        <w:outlineLvl w:val="2"/>
        <w:rPr>
          <w:lang w:val="es-ES"/>
        </w:rPr>
      </w:pPr>
      <w:r>
        <w:rPr>
          <w:lang w:val="es-ES"/>
        </w:rPr>
        <w:t>6.1</w:t>
      </w:r>
      <w:r>
        <w:rPr>
          <w:lang w:val="es-ES"/>
        </w:rPr>
        <w:tab/>
        <w:t>Notificación de observaciones horarias</w:t>
      </w:r>
      <w:bookmarkStart w:id="60" w:name="_p_E42B21FF178AF749805FE0B9A556D19E"/>
      <w:bookmarkEnd w:id="60"/>
    </w:p>
    <w:p w14:paraId="01F01484" w14:textId="38150249" w:rsidR="0053039D" w:rsidRPr="00E4666D" w:rsidRDefault="000177E4" w:rsidP="00EA0A2B">
      <w:pPr>
        <w:pStyle w:val="Bodytext"/>
        <w:rPr>
          <w:lang w:val="es-ES"/>
        </w:rPr>
      </w:pPr>
      <w:r>
        <w:rPr>
          <w:lang w:val="es-ES"/>
        </w:rPr>
        <w:t xml:space="preserve">De conformidad con el </w:t>
      </w:r>
      <w:hyperlink r:id="rId68" w:history="1">
        <w:r w:rsidRPr="00DB353F">
          <w:rPr>
            <w:rStyle w:val="Hyperlink"/>
            <w:i/>
            <w:iCs/>
            <w:lang w:val="es-ES"/>
          </w:rPr>
          <w:t>Manual de</w:t>
        </w:r>
        <w:r w:rsidRPr="00DB353F">
          <w:rPr>
            <w:rStyle w:val="Hyperlink"/>
            <w:i/>
            <w:iCs/>
            <w:lang w:val="es-ES"/>
          </w:rPr>
          <w:t>l</w:t>
        </w:r>
        <w:r w:rsidRPr="00DB353F">
          <w:rPr>
            <w:rStyle w:val="Hyperlink"/>
            <w:i/>
            <w:iCs/>
            <w:lang w:val="es-ES"/>
          </w:rPr>
          <w:t xml:space="preserve"> Sistema Mundial Integrado de Sistemas de Observación de la OMM</w:t>
        </w:r>
      </w:hyperlink>
      <w:r>
        <w:rPr>
          <w:lang w:val="es-ES"/>
        </w:rPr>
        <w:t xml:space="preserve"> (OMM-Nº 1160), sección 3.2.2, las estaciones de observación terrestres en superficie y en altitud de la GBON realizarán observaciones de un número mínimo de variables requeridas. Las prácticas de notificación de estas variables requeridas por la GBON se especifican en el </w:t>
      </w:r>
      <w:r>
        <w:rPr>
          <w:i/>
          <w:iCs/>
          <w:lang w:val="es-ES"/>
        </w:rPr>
        <w:t>Manual de claves</w:t>
      </w:r>
      <w:r>
        <w:rPr>
          <w:lang w:val="es-ES"/>
        </w:rPr>
        <w:t xml:space="preserve"> (OMM-Nº 306), volumen </w:t>
      </w:r>
      <w:hyperlink r:id="rId69" w:history="1">
        <w:r w:rsidRPr="00166948">
          <w:rPr>
            <w:rStyle w:val="Hyperlink"/>
            <w:i/>
            <w:iCs/>
            <w:lang w:val="es-ES"/>
          </w:rPr>
          <w:t>I</w:t>
        </w:r>
        <w:r w:rsidRPr="00166948">
          <w:rPr>
            <w:rStyle w:val="Hyperlink"/>
            <w:i/>
            <w:iCs/>
            <w:lang w:val="es-ES"/>
          </w:rPr>
          <w:t>.</w:t>
        </w:r>
        <w:r w:rsidRPr="00166948">
          <w:rPr>
            <w:rStyle w:val="Hyperlink"/>
            <w:i/>
            <w:iCs/>
            <w:lang w:val="es-ES"/>
          </w:rPr>
          <w:t>2</w:t>
        </w:r>
      </w:hyperlink>
      <w:r>
        <w:rPr>
          <w:lang w:val="es-ES"/>
        </w:rPr>
        <w:t>, Parte D Reglas para la notificación de parámetros de la GBON (</w:t>
      </w:r>
      <w:r>
        <w:rPr>
          <w:i/>
          <w:iCs/>
          <w:lang w:val="es-ES"/>
        </w:rPr>
        <w:t>nueva publicación</w:t>
      </w:r>
      <w:r>
        <w:rPr>
          <w:lang w:val="es-ES"/>
        </w:rPr>
        <w:t>).</w:t>
      </w:r>
    </w:p>
    <w:p w14:paraId="724FCAF7" w14:textId="77777777" w:rsidR="008410C9" w:rsidRPr="00E4666D" w:rsidRDefault="00C97B4E" w:rsidP="00EA0A2B">
      <w:pPr>
        <w:pStyle w:val="Heading10"/>
        <w:outlineLvl w:val="2"/>
        <w:rPr>
          <w:lang w:val="es-ES"/>
        </w:rPr>
      </w:pPr>
      <w:r>
        <w:rPr>
          <w:lang w:val="es-ES"/>
        </w:rPr>
        <w:t>6.2</w:t>
      </w:r>
      <w:r>
        <w:rPr>
          <w:lang w:val="es-ES"/>
        </w:rPr>
        <w:tab/>
        <w:t>Directrices adicionales sobre el SIO</w:t>
      </w:r>
      <w:bookmarkStart w:id="61" w:name="_p_BABED5CADA5FAF4693A28F5FD8174002"/>
      <w:bookmarkEnd w:id="61"/>
    </w:p>
    <w:p w14:paraId="7A2A5CB7" w14:textId="5A19F7FE" w:rsidR="001F37B4" w:rsidRPr="00E4666D" w:rsidRDefault="001F37B4" w:rsidP="00EA0A2B">
      <w:pPr>
        <w:shd w:val="clear" w:color="auto" w:fill="FFFFFF"/>
        <w:spacing w:after="240" w:line="240" w:lineRule="exact"/>
        <w:textAlignment w:val="baseline"/>
        <w:rPr>
          <w:rFonts w:eastAsia="Times New Roman" w:cs="Calibri"/>
          <w:color w:val="000000"/>
          <w:lang w:val="es-ES"/>
        </w:rPr>
      </w:pPr>
      <w:r>
        <w:rPr>
          <w:lang w:val="es-ES"/>
        </w:rPr>
        <w:t xml:space="preserve">De conformidad con la Resolución ##/1 (EC-76) - Plan de Ejecución de la versión 2.0 del Sistema de Información de la OMM, se solicita a los Miembros que intercambien observaciones </w:t>
      </w:r>
      <w:r w:rsidR="00F71CB6">
        <w:rPr>
          <w:lang w:val="es-ES"/>
        </w:rPr>
        <w:t>relativas a</w:t>
      </w:r>
      <w:r w:rsidR="00B53889">
        <w:rPr>
          <w:lang w:val="es-ES"/>
        </w:rPr>
        <w:t xml:space="preserve"> la </w:t>
      </w:r>
      <w:r>
        <w:rPr>
          <w:lang w:val="es-ES"/>
        </w:rPr>
        <w:t>GBON a través del SMT y del SIO hasta que la versión 2.0 del SIO sea operativa en 2024. Se recomienda la difusión paralela de datos a través del SMT y de la versión 2.0 del SIO desde el inicio de la fase piloto en 2023.</w:t>
      </w:r>
    </w:p>
    <w:p w14:paraId="4633DA7B" w14:textId="04346A03" w:rsidR="001F37B4" w:rsidRPr="00E4666D" w:rsidRDefault="001F37B4" w:rsidP="00EA0A2B">
      <w:pPr>
        <w:shd w:val="clear" w:color="auto" w:fill="FFFFFF"/>
        <w:spacing w:after="240" w:line="240" w:lineRule="exact"/>
        <w:textAlignment w:val="baseline"/>
        <w:rPr>
          <w:rFonts w:eastAsia="Times New Roman" w:cs="Calibri"/>
          <w:color w:val="000000"/>
          <w:lang w:val="es-ES"/>
        </w:rPr>
      </w:pPr>
      <w:r>
        <w:rPr>
          <w:lang w:val="es-ES"/>
        </w:rPr>
        <w:lastRenderedPageBreak/>
        <w:t xml:space="preserve">Los Miembros deberán intercambiar observaciones </w:t>
      </w:r>
      <w:r w:rsidR="00B140FA">
        <w:rPr>
          <w:lang w:val="es-ES"/>
        </w:rPr>
        <w:t>relativas a</w:t>
      </w:r>
      <w:r>
        <w:rPr>
          <w:lang w:val="es-ES"/>
        </w:rPr>
        <w:t xml:space="preserve"> la GBON a través del SMT y del SIO de conformidad con el </w:t>
      </w:r>
      <w:hyperlink r:id="rId70" w:history="1">
        <w:r w:rsidRPr="00DB353F">
          <w:rPr>
            <w:rStyle w:val="Hyperlink"/>
            <w:i/>
            <w:iCs/>
            <w:lang w:val="es-ES"/>
          </w:rPr>
          <w:t>Manual del Sistema Mundial de Telecomunicación</w:t>
        </w:r>
      </w:hyperlink>
      <w:r>
        <w:rPr>
          <w:lang w:val="es-ES"/>
        </w:rPr>
        <w:t xml:space="preserve"> (OMM-Nº 386), y el </w:t>
      </w:r>
      <w:hyperlink r:id="rId71" w:history="1">
        <w:r w:rsidRPr="00DB353F">
          <w:rPr>
            <w:rStyle w:val="Hyperlink"/>
            <w:i/>
            <w:iCs/>
            <w:lang w:val="es-ES"/>
          </w:rPr>
          <w:t>Manual del Sistema de información de la OMM</w:t>
        </w:r>
      </w:hyperlink>
      <w:r>
        <w:rPr>
          <w:lang w:val="es-ES"/>
        </w:rPr>
        <w:t xml:space="preserve"> (OMM-Nº 1060), volumen I.</w:t>
      </w:r>
    </w:p>
    <w:p w14:paraId="4E518037" w14:textId="25FEAF4C" w:rsidR="001F37B4" w:rsidRPr="00E4666D" w:rsidRDefault="001F37B4" w:rsidP="00EA0A2B">
      <w:pPr>
        <w:shd w:val="clear" w:color="auto" w:fill="FFFFFF"/>
        <w:spacing w:after="240" w:line="240" w:lineRule="exact"/>
        <w:textAlignment w:val="baseline"/>
        <w:rPr>
          <w:rFonts w:eastAsia="Times New Roman" w:cs="Calibri"/>
          <w:color w:val="000000"/>
          <w:lang w:val="es-ES"/>
        </w:rPr>
      </w:pPr>
      <w:r>
        <w:rPr>
          <w:lang w:val="es-ES"/>
        </w:rPr>
        <w:t xml:space="preserve">En la </w:t>
      </w:r>
      <w:hyperlink r:id="rId72" w:history="1">
        <w:r w:rsidRPr="00DB353F">
          <w:rPr>
            <w:rStyle w:val="Hyperlink"/>
            <w:i/>
            <w:iCs/>
            <w:lang w:val="es-ES"/>
          </w:rPr>
          <w:t>Guía del Sistema de Información de la OMM</w:t>
        </w:r>
      </w:hyperlink>
      <w:r>
        <w:rPr>
          <w:lang w:val="es-ES"/>
        </w:rPr>
        <w:t xml:space="preserve"> (OMM-Nº 1061) se facilita información adicional al respecto.</w:t>
      </w:r>
    </w:p>
    <w:p w14:paraId="27B0AE86" w14:textId="67BFA380" w:rsidR="001F37B4" w:rsidRPr="00E4666D" w:rsidRDefault="001F37B4" w:rsidP="00EA0A2B">
      <w:pPr>
        <w:shd w:val="clear" w:color="auto" w:fill="FFFFFF"/>
        <w:spacing w:after="240" w:line="240" w:lineRule="exact"/>
        <w:textAlignment w:val="baseline"/>
        <w:rPr>
          <w:rFonts w:eastAsia="Times New Roman" w:cs="Calibri"/>
          <w:color w:val="000000"/>
          <w:bdr w:val="none" w:sz="0" w:space="0" w:color="auto" w:frame="1"/>
          <w:lang w:val="es-ES"/>
        </w:rPr>
      </w:pPr>
      <w:r>
        <w:rPr>
          <w:lang w:val="es-ES"/>
        </w:rPr>
        <w:t xml:space="preserve">El intercambio de observaciones </w:t>
      </w:r>
      <w:r w:rsidR="00096635">
        <w:rPr>
          <w:lang w:val="es-ES"/>
        </w:rPr>
        <w:t>relativas a</w:t>
      </w:r>
      <w:r>
        <w:rPr>
          <w:lang w:val="es-ES"/>
        </w:rPr>
        <w:t xml:space="preserve"> la GBON a través de la versión 2.0 del SIO estará regulado por el </w:t>
      </w:r>
      <w:hyperlink r:id="rId73" w:history="1">
        <w:r w:rsidRPr="00DB353F">
          <w:rPr>
            <w:rStyle w:val="Hyperlink"/>
            <w:i/>
            <w:iCs/>
            <w:lang w:val="es-ES"/>
          </w:rPr>
          <w:t>Manual del Sistema de información de la OMM</w:t>
        </w:r>
      </w:hyperlink>
      <w:r>
        <w:rPr>
          <w:lang w:val="es-ES"/>
        </w:rPr>
        <w:t xml:space="preserve"> (OMM-Nº 1060), volumen II.</w:t>
      </w:r>
    </w:p>
    <w:p w14:paraId="40241DC7" w14:textId="77777777" w:rsidR="00E03614" w:rsidRPr="00E4666D" w:rsidRDefault="00E03614" w:rsidP="00FB7E6A">
      <w:pPr>
        <w:pStyle w:val="Bodytext"/>
        <w:rPr>
          <w:lang w:val="es-ES"/>
        </w:rPr>
      </w:pPr>
      <w:bookmarkStart w:id="62" w:name="_p_2695AE64FDE8FF4199F7500F229C2482"/>
      <w:bookmarkEnd w:id="62"/>
    </w:p>
    <w:p w14:paraId="44971FA1" w14:textId="705A712A" w:rsidR="008410C9" w:rsidRPr="00E4666D" w:rsidRDefault="00C97B4E" w:rsidP="00BD3815">
      <w:pPr>
        <w:pStyle w:val="Chapterhead"/>
        <w:jc w:val="both"/>
        <w:outlineLvl w:val="1"/>
        <w:rPr>
          <w:lang w:val="es-ES"/>
        </w:rPr>
      </w:pPr>
      <w:r>
        <w:rPr>
          <w:bCs/>
          <w:lang w:val="es-ES"/>
        </w:rPr>
        <w:t>7.</w:t>
      </w:r>
      <w:r>
        <w:rPr>
          <w:lang w:val="es-ES"/>
        </w:rPr>
        <w:t xml:space="preserve"> </w:t>
      </w:r>
      <w:r>
        <w:rPr>
          <w:lang w:val="es-ES"/>
        </w:rPr>
        <w:tab/>
      </w:r>
      <w:r>
        <w:rPr>
          <w:bCs/>
          <w:lang w:val="es-ES"/>
        </w:rPr>
        <w:t>METADATOS ESPECÍFICOS DE LA GBON EN</w:t>
      </w:r>
      <w:r w:rsidR="00EE5CA2">
        <w:rPr>
          <w:bCs/>
          <w:lang w:val="es-ES"/>
        </w:rPr>
        <w:t xml:space="preserve"> </w:t>
      </w:r>
      <w:r>
        <w:rPr>
          <w:bCs/>
          <w:lang w:val="es-ES"/>
        </w:rPr>
        <w:t>OSCAR/SUPERFICIE</w:t>
      </w:r>
    </w:p>
    <w:p w14:paraId="74A53023" w14:textId="77777777" w:rsidR="000D701F" w:rsidRPr="00E4666D" w:rsidRDefault="000C471C" w:rsidP="00BD3815">
      <w:pPr>
        <w:spacing w:before="480" w:after="200" w:line="276" w:lineRule="auto"/>
        <w:jc w:val="both"/>
        <w:outlineLvl w:val="2"/>
        <w:rPr>
          <w:rStyle w:val="normaltextrun"/>
          <w:rFonts w:eastAsia="Verdana" w:cs="Verdana"/>
          <w:b/>
          <w:bCs/>
          <w:lang w:val="es-ES"/>
        </w:rPr>
      </w:pPr>
      <w:r>
        <w:rPr>
          <w:b/>
          <w:bCs/>
          <w:lang w:val="es-ES"/>
        </w:rPr>
        <w:t>7.1</w:t>
      </w:r>
      <w:r>
        <w:rPr>
          <w:lang w:val="es-ES"/>
        </w:rPr>
        <w:tab/>
      </w:r>
      <w:r>
        <w:rPr>
          <w:b/>
          <w:bCs/>
          <w:lang w:val="es-ES"/>
        </w:rPr>
        <w:t>Introducción</w:t>
      </w:r>
    </w:p>
    <w:p w14:paraId="0034A7F4" w14:textId="0C3F32BA" w:rsidR="00057274" w:rsidRPr="00E4666D" w:rsidRDefault="008C2CFE" w:rsidP="00686515">
      <w:pPr>
        <w:spacing w:after="240" w:line="240" w:lineRule="exact"/>
        <w:rPr>
          <w:rStyle w:val="normaltextrun"/>
          <w:color w:val="000000"/>
          <w:shd w:val="clear" w:color="auto" w:fill="FFFFFF"/>
          <w:lang w:val="es-ES"/>
        </w:rPr>
      </w:pPr>
      <w:hyperlink r:id="rId74" w:history="1">
        <w:r w:rsidR="000D701F" w:rsidRPr="001D688E">
          <w:rPr>
            <w:rStyle w:val="Hyperlink"/>
            <w:lang w:val="es-ES"/>
          </w:rPr>
          <w:t>OSCAR/Superficie</w:t>
        </w:r>
      </w:hyperlink>
      <w:r w:rsidR="000D701F">
        <w:rPr>
          <w:lang w:val="es-ES"/>
        </w:rPr>
        <w:t xml:space="preserve"> es la fuente oficial de información </w:t>
      </w:r>
      <w:r w:rsidR="00800833">
        <w:rPr>
          <w:lang w:val="es-ES"/>
        </w:rPr>
        <w:t>de</w:t>
      </w:r>
      <w:r w:rsidR="000D701F">
        <w:rPr>
          <w:lang w:val="es-ES"/>
        </w:rPr>
        <w:t xml:space="preserve"> metadatos del WIGOS de todas las estaciones y plataformas en superficie</w:t>
      </w:r>
      <w:r w:rsidR="00685AAB">
        <w:rPr>
          <w:lang w:val="es-ES"/>
        </w:rPr>
        <w:t xml:space="preserve">, </w:t>
      </w:r>
      <w:r w:rsidR="000D701F">
        <w:rPr>
          <w:lang w:val="es-ES"/>
        </w:rPr>
        <w:t xml:space="preserve">de conformidad con el </w:t>
      </w:r>
      <w:hyperlink r:id="rId75" w:anchor=".YFS_N69Kg2w" w:history="1">
        <w:r w:rsidR="000D701F" w:rsidRPr="001D688E">
          <w:rPr>
            <w:rStyle w:val="Hyperlink"/>
            <w:i/>
            <w:iCs/>
            <w:lang w:val="es-ES"/>
          </w:rPr>
          <w:t>Manual del Sistema Mundial Integrado de Sistemas de Observación de la OMM</w:t>
        </w:r>
      </w:hyperlink>
      <w:r w:rsidR="000D701F">
        <w:rPr>
          <w:lang w:val="es-ES"/>
        </w:rPr>
        <w:t xml:space="preserve"> </w:t>
      </w:r>
      <w:r w:rsidR="000D701F" w:rsidRPr="00686515">
        <w:rPr>
          <w:color w:val="auto"/>
          <w:lang w:val="es-ES"/>
        </w:rPr>
        <w:t>(</w:t>
      </w:r>
      <w:r w:rsidR="000D701F" w:rsidRPr="00686515">
        <w:rPr>
          <w:rStyle w:val="normaltextrun"/>
          <w:color w:val="auto"/>
          <w:shd w:val="clear" w:color="auto" w:fill="FFFFFF"/>
          <w:lang w:val="es-ES"/>
        </w:rPr>
        <w:t>OMM-Nº 1160</w:t>
      </w:r>
      <w:r w:rsidR="000D701F" w:rsidRPr="00686515">
        <w:rPr>
          <w:color w:val="auto"/>
          <w:lang w:val="es-ES"/>
        </w:rPr>
        <w:t xml:space="preserve">) y </w:t>
      </w:r>
      <w:r w:rsidR="000D701F">
        <w:rPr>
          <w:lang w:val="es-ES"/>
        </w:rPr>
        <w:t xml:space="preserve">con la </w:t>
      </w:r>
      <w:hyperlink r:id="rId76" w:anchor=".YFThAa9Kg2w" w:history="1">
        <w:r w:rsidR="000D701F" w:rsidRPr="00892ADB">
          <w:rPr>
            <w:rStyle w:val="Hyperlink"/>
            <w:i/>
            <w:iCs/>
            <w:lang w:val="es-ES"/>
          </w:rPr>
          <w:t>Norma sobre metadatos del Sistema Mundial Integrado de Sistemas de Observación de la OMM</w:t>
        </w:r>
      </w:hyperlink>
      <w:r w:rsidR="000D701F">
        <w:rPr>
          <w:lang w:val="es-ES"/>
        </w:rPr>
        <w:t xml:space="preserve"> </w:t>
      </w:r>
      <w:r w:rsidR="000D701F" w:rsidRPr="00686515">
        <w:rPr>
          <w:color w:val="auto"/>
          <w:lang w:val="es-ES"/>
        </w:rPr>
        <w:t>(</w:t>
      </w:r>
      <w:r w:rsidR="000D701F" w:rsidRPr="00686515">
        <w:rPr>
          <w:rStyle w:val="normaltextrun"/>
          <w:color w:val="auto"/>
          <w:shd w:val="clear" w:color="auto" w:fill="FFFFFF"/>
          <w:lang w:val="es-ES"/>
        </w:rPr>
        <w:t>OMM</w:t>
      </w:r>
      <w:r w:rsidR="00686515">
        <w:rPr>
          <w:rStyle w:val="normaltextrun"/>
          <w:color w:val="auto"/>
          <w:shd w:val="clear" w:color="auto" w:fill="FFFFFF"/>
          <w:lang w:val="es-ES"/>
        </w:rPr>
        <w:noBreakHyphen/>
      </w:r>
      <w:r w:rsidR="000D701F" w:rsidRPr="00686515">
        <w:rPr>
          <w:rStyle w:val="normaltextrun"/>
          <w:color w:val="auto"/>
          <w:shd w:val="clear" w:color="auto" w:fill="FFFFFF"/>
          <w:lang w:val="es-ES"/>
        </w:rPr>
        <w:t>Nº</w:t>
      </w:r>
      <w:r w:rsidR="00800833" w:rsidRPr="00686515">
        <w:rPr>
          <w:rStyle w:val="normaltextrun"/>
          <w:color w:val="auto"/>
          <w:shd w:val="clear" w:color="auto" w:fill="FFFFFF"/>
          <w:lang w:val="es-ES"/>
        </w:rPr>
        <w:t> </w:t>
      </w:r>
      <w:r w:rsidR="000D701F" w:rsidRPr="00686515">
        <w:rPr>
          <w:rStyle w:val="normaltextrun"/>
          <w:color w:val="auto"/>
          <w:shd w:val="clear" w:color="auto" w:fill="FFFFFF"/>
          <w:lang w:val="es-ES"/>
        </w:rPr>
        <w:t>1192</w:t>
      </w:r>
      <w:r w:rsidR="000D701F" w:rsidRPr="00686515">
        <w:rPr>
          <w:color w:val="auto"/>
          <w:lang w:val="es-ES"/>
        </w:rPr>
        <w:t>)</w:t>
      </w:r>
      <w:r w:rsidR="00B54E28" w:rsidRPr="00686515">
        <w:rPr>
          <w:color w:val="auto"/>
          <w:lang w:val="es-ES"/>
        </w:rPr>
        <w:t>,</w:t>
      </w:r>
      <w:r w:rsidR="000D701F" w:rsidRPr="00686515">
        <w:rPr>
          <w:color w:val="auto"/>
          <w:lang w:val="es-ES"/>
        </w:rPr>
        <w:t xml:space="preserve"> </w:t>
      </w:r>
      <w:r w:rsidR="00057660" w:rsidRPr="00686515">
        <w:rPr>
          <w:color w:val="auto"/>
          <w:lang w:val="es-ES"/>
        </w:rPr>
        <w:t>destinada a</w:t>
      </w:r>
      <w:r w:rsidR="000D701F" w:rsidRPr="00686515">
        <w:rPr>
          <w:color w:val="auto"/>
          <w:lang w:val="es-ES"/>
        </w:rPr>
        <w:t xml:space="preserve"> registrar y conservar todos los metadatos actuales e his</w:t>
      </w:r>
      <w:r w:rsidR="000D701F">
        <w:rPr>
          <w:lang w:val="es-ES"/>
        </w:rPr>
        <w:t>tóricos del WIGOS.</w:t>
      </w:r>
      <w:bookmarkStart w:id="63" w:name="_Hlk122342808"/>
      <w:bookmarkEnd w:id="63"/>
    </w:p>
    <w:p w14:paraId="7F1BEB37" w14:textId="05616199" w:rsidR="000D701F" w:rsidRPr="00E4666D" w:rsidRDefault="006B26C9" w:rsidP="00686515">
      <w:pPr>
        <w:spacing w:before="120" w:after="240" w:line="240" w:lineRule="exact"/>
        <w:rPr>
          <w:rStyle w:val="normaltextrun"/>
          <w:color w:val="000000"/>
          <w:shd w:val="clear" w:color="auto" w:fill="FFFFFF"/>
          <w:lang w:val="es-ES"/>
        </w:rPr>
      </w:pPr>
      <w:r>
        <w:rPr>
          <w:lang w:val="es-ES"/>
        </w:rPr>
        <w:t xml:space="preserve">El </w:t>
      </w:r>
      <w:hyperlink r:id="rId77" w:anchor=".Y3Ihb3bMI2w" w:history="1">
        <w:r w:rsidRPr="00892ADB">
          <w:rPr>
            <w:rStyle w:val="Hyperlink"/>
            <w:i/>
            <w:iCs/>
            <w:lang w:val="es-ES"/>
          </w:rPr>
          <w:t>Manual del usuario de OSCAR/Superficie</w:t>
        </w:r>
      </w:hyperlink>
      <w:r>
        <w:rPr>
          <w:lang w:val="es-ES"/>
        </w:rPr>
        <w:t xml:space="preserve"> se encuentra disponible en línea, en los diversos idiomas de la OMM. Esta sección no está destinada a repetir o duplicar el </w:t>
      </w:r>
      <w:hyperlink r:id="rId78" w:anchor=".Y3Ihb3bMI2w" w:history="1">
        <w:r w:rsidRPr="00892ADB">
          <w:rPr>
            <w:rStyle w:val="Hyperlink"/>
            <w:i/>
            <w:iCs/>
            <w:lang w:val="es-ES"/>
          </w:rPr>
          <w:t>Manual del usuario de OSCAR/Superficie</w:t>
        </w:r>
      </w:hyperlink>
      <w:r>
        <w:rPr>
          <w:lang w:val="es-ES"/>
        </w:rPr>
        <w:t xml:space="preserve">, sino a proporcionar orientaciones específicas relacionadas con las estaciones de la GBON </w:t>
      </w:r>
      <w:r w:rsidR="00470BC0">
        <w:rPr>
          <w:lang w:val="es-ES"/>
        </w:rPr>
        <w:t>creadas</w:t>
      </w:r>
      <w:r>
        <w:rPr>
          <w:lang w:val="es-ES"/>
        </w:rPr>
        <w:t xml:space="preserve"> o </w:t>
      </w:r>
      <w:r w:rsidR="00470BC0">
        <w:rPr>
          <w:lang w:val="es-ES"/>
        </w:rPr>
        <w:t>por crear</w:t>
      </w:r>
      <w:r>
        <w:rPr>
          <w:lang w:val="es-ES"/>
        </w:rPr>
        <w:t xml:space="preserve"> en </w:t>
      </w:r>
      <w:hyperlink r:id="rId79" w:history="1">
        <w:r w:rsidRPr="00892ADB">
          <w:rPr>
            <w:rStyle w:val="Hyperlink"/>
            <w:lang w:val="es-ES"/>
          </w:rPr>
          <w:t>OSCAR/Superficie</w:t>
        </w:r>
      </w:hyperlink>
      <w:r>
        <w:rPr>
          <w:lang w:val="es-ES"/>
        </w:rPr>
        <w:t>.</w:t>
      </w:r>
    </w:p>
    <w:p w14:paraId="6D1BAA4B" w14:textId="70C0267B" w:rsidR="00F254F3" w:rsidRPr="00E4666D" w:rsidRDefault="00F254F3" w:rsidP="00686515">
      <w:pPr>
        <w:pStyle w:val="Bodytext"/>
        <w:rPr>
          <w:lang w:val="es-ES"/>
        </w:rPr>
      </w:pPr>
      <w:r>
        <w:rPr>
          <w:lang w:val="es-ES"/>
        </w:rPr>
        <w:t xml:space="preserve">Las estaciones de la GBON se identificarán en </w:t>
      </w:r>
      <w:hyperlink r:id="rId80" w:history="1">
        <w:r w:rsidRPr="00892ADB">
          <w:rPr>
            <w:rStyle w:val="Hyperlink"/>
            <w:lang w:val="es-ES"/>
          </w:rPr>
          <w:t>OSCAR/Superficie</w:t>
        </w:r>
      </w:hyperlink>
      <w:r>
        <w:rPr>
          <w:lang w:val="es-ES"/>
        </w:rPr>
        <w:t xml:space="preserve"> vinculando una estación al programa o red de la GBON. Las estaciones GBON aparecerán en </w:t>
      </w:r>
      <w:hyperlink r:id="rId81" w:history="1">
        <w:r w:rsidRPr="00892ADB">
          <w:rPr>
            <w:rStyle w:val="Hyperlink"/>
            <w:lang w:val="es-ES"/>
          </w:rPr>
          <w:t>OSCAR/Superficie</w:t>
        </w:r>
      </w:hyperlink>
      <w:r>
        <w:rPr>
          <w:lang w:val="es-ES"/>
        </w:rPr>
        <w:t xml:space="preserve"> tras guardarse en el sistema, pero en los detalles de la estación su estado aparecerá como pendiente de aprobación hasta que la administración de la GBON </w:t>
      </w:r>
      <w:r w:rsidR="007F1C4B">
        <w:rPr>
          <w:lang w:val="es-ES"/>
        </w:rPr>
        <w:t xml:space="preserve">la </w:t>
      </w:r>
      <w:r>
        <w:rPr>
          <w:lang w:val="es-ES"/>
        </w:rPr>
        <w:t>apruebe</w:t>
      </w:r>
      <w:r w:rsidR="007F1C4B">
        <w:rPr>
          <w:lang w:val="es-ES"/>
        </w:rPr>
        <w:t>.</w:t>
      </w:r>
    </w:p>
    <w:p w14:paraId="5960FD80" w14:textId="77777777" w:rsidR="000D701F" w:rsidRPr="00E4666D" w:rsidRDefault="000C471C" w:rsidP="00BD3815">
      <w:pPr>
        <w:spacing w:before="480" w:after="200" w:line="276" w:lineRule="auto"/>
        <w:jc w:val="both"/>
        <w:outlineLvl w:val="2"/>
        <w:rPr>
          <w:rStyle w:val="normaltextrun"/>
          <w:rFonts w:eastAsia="Verdana" w:cs="Verdana"/>
          <w:b/>
          <w:bCs/>
          <w:lang w:val="es-ES"/>
        </w:rPr>
      </w:pPr>
      <w:r>
        <w:rPr>
          <w:b/>
          <w:bCs/>
          <w:lang w:val="es-ES"/>
        </w:rPr>
        <w:t>7.2</w:t>
      </w:r>
      <w:r>
        <w:rPr>
          <w:lang w:val="es-ES"/>
        </w:rPr>
        <w:tab/>
      </w:r>
      <w:r>
        <w:rPr>
          <w:b/>
          <w:bCs/>
          <w:lang w:val="es-ES"/>
        </w:rPr>
        <w:t>Buscar estaciones de la GBON</w:t>
      </w:r>
    </w:p>
    <w:p w14:paraId="78E9F3E2" w14:textId="77777777" w:rsidR="000D701F" w:rsidRPr="00E4666D" w:rsidRDefault="000C471C" w:rsidP="00BD3815">
      <w:pPr>
        <w:spacing w:after="240" w:line="240" w:lineRule="exact"/>
        <w:jc w:val="both"/>
        <w:rPr>
          <w:rStyle w:val="normaltextrun"/>
          <w:rFonts w:eastAsia="Verdana" w:cs="Verdana"/>
          <w:b/>
          <w:bCs/>
          <w:lang w:val="es-ES"/>
        </w:rPr>
      </w:pPr>
      <w:r>
        <w:rPr>
          <w:b/>
          <w:bCs/>
          <w:lang w:val="es-ES"/>
        </w:rPr>
        <w:t>7.2.1</w:t>
      </w:r>
      <w:r>
        <w:rPr>
          <w:lang w:val="es-ES"/>
        </w:rPr>
        <w:tab/>
      </w:r>
      <w:r>
        <w:rPr>
          <w:b/>
          <w:bCs/>
          <w:lang w:val="es-ES"/>
        </w:rPr>
        <w:t>Cómo encontrar una estación de la GBON</w:t>
      </w:r>
    </w:p>
    <w:p w14:paraId="423E23E1" w14:textId="4BEF059B" w:rsidR="000D701F" w:rsidRPr="00E4666D" w:rsidRDefault="000D701F" w:rsidP="00433219">
      <w:pPr>
        <w:spacing w:after="240" w:line="240" w:lineRule="exact"/>
        <w:rPr>
          <w:rStyle w:val="normaltextrun"/>
          <w:color w:val="000000"/>
          <w:shd w:val="clear" w:color="auto" w:fill="FFFFFF"/>
          <w:lang w:val="es-ES"/>
        </w:rPr>
      </w:pPr>
      <w:r>
        <w:rPr>
          <w:lang w:val="es-ES"/>
        </w:rPr>
        <w:t xml:space="preserve">Para buscar estaciones </w:t>
      </w:r>
      <w:r w:rsidR="00797F1E">
        <w:rPr>
          <w:lang w:val="es-ES"/>
        </w:rPr>
        <w:t xml:space="preserve">creadas </w:t>
      </w:r>
      <w:r>
        <w:rPr>
          <w:lang w:val="es-ES"/>
        </w:rPr>
        <w:t xml:space="preserve">en </w:t>
      </w:r>
      <w:hyperlink r:id="rId82" w:history="1">
        <w:r w:rsidRPr="0004105E">
          <w:rPr>
            <w:rStyle w:val="Hyperlink"/>
            <w:lang w:val="es-ES"/>
          </w:rPr>
          <w:t>OSCAR/Superficie</w:t>
        </w:r>
      </w:hyperlink>
      <w:r>
        <w:rPr>
          <w:lang w:val="es-ES"/>
        </w:rPr>
        <w:t xml:space="preserve"> que estén vinculadas a la GBON (estaciones de la GBON) se puede utilizar la página de </w:t>
      </w:r>
      <w:r w:rsidR="00CD738E" w:rsidRPr="00CD738E">
        <w:rPr>
          <w:rStyle w:val="normaltextrun"/>
          <w:b/>
          <w:bCs/>
          <w:color w:val="7F7F7F"/>
          <w:shd w:val="clear" w:color="auto" w:fill="FFFFFF"/>
          <w:lang w:val="es-ES"/>
        </w:rPr>
        <w:t>B</w:t>
      </w:r>
      <w:r w:rsidRPr="00CD738E">
        <w:rPr>
          <w:rStyle w:val="normaltextrun"/>
          <w:b/>
          <w:bCs/>
          <w:color w:val="7F7F7F"/>
          <w:shd w:val="clear" w:color="auto" w:fill="FFFFFF"/>
          <w:lang w:val="es-ES"/>
        </w:rPr>
        <w:t>úsqueda de estaciones</w:t>
      </w:r>
      <w:r>
        <w:rPr>
          <w:lang w:val="es-ES"/>
        </w:rPr>
        <w:t xml:space="preserve"> (</w:t>
      </w:r>
      <w:proofErr w:type="spellStart"/>
      <w:r>
        <w:rPr>
          <w:lang w:val="es-ES"/>
        </w:rPr>
        <w:t>Search</w:t>
      </w:r>
      <w:proofErr w:type="spellEnd"/>
      <w:r>
        <w:rPr>
          <w:lang w:val="es-ES"/>
        </w:rPr>
        <w:t xml:space="preserve"> </w:t>
      </w:r>
      <w:proofErr w:type="spellStart"/>
      <w:r>
        <w:rPr>
          <w:lang w:val="es-ES"/>
        </w:rPr>
        <w:t>for</w:t>
      </w:r>
      <w:proofErr w:type="spellEnd"/>
      <w:r>
        <w:rPr>
          <w:lang w:val="es-ES"/>
        </w:rPr>
        <w:t xml:space="preserve"> </w:t>
      </w:r>
      <w:proofErr w:type="spellStart"/>
      <w:r>
        <w:rPr>
          <w:lang w:val="es-ES"/>
        </w:rPr>
        <w:t>stations</w:t>
      </w:r>
      <w:proofErr w:type="spellEnd"/>
      <w:r>
        <w:rPr>
          <w:lang w:val="es-ES"/>
        </w:rPr>
        <w:t>) (Figura</w:t>
      </w:r>
      <w:r w:rsidR="00963223">
        <w:rPr>
          <w:lang w:val="es-ES"/>
        </w:rPr>
        <w:t> </w:t>
      </w:r>
      <w:r>
        <w:rPr>
          <w:lang w:val="es-ES"/>
        </w:rPr>
        <w:t xml:space="preserve">7.1) a la que se accede a través de la pestaña </w:t>
      </w:r>
      <w:r w:rsidRPr="00963223">
        <w:rPr>
          <w:rStyle w:val="normaltextrun"/>
          <w:b/>
          <w:bCs/>
          <w:color w:val="7F7F7F"/>
          <w:shd w:val="clear" w:color="auto" w:fill="FFFFFF"/>
          <w:lang w:val="es-ES"/>
        </w:rPr>
        <w:t>Buscar</w:t>
      </w:r>
      <w:r>
        <w:rPr>
          <w:lang w:val="es-ES"/>
        </w:rPr>
        <w:t xml:space="preserve"> (</w:t>
      </w:r>
      <w:proofErr w:type="spellStart"/>
      <w:r>
        <w:rPr>
          <w:lang w:val="es-ES"/>
        </w:rPr>
        <w:t>Search</w:t>
      </w:r>
      <w:proofErr w:type="spellEnd"/>
      <w:r>
        <w:rPr>
          <w:lang w:val="es-ES"/>
        </w:rPr>
        <w:t>). Las opciones de búsqueda avanzada permiten, por ejemplo, buscar estaciones de la GBON en un país determinado. Para hacerlo, seleccione "GBON" en "WIGOS/GOS/GOS Surface Networks" desde el árbol de Vinculación a programas o redes (</w:t>
      </w:r>
      <w:proofErr w:type="spellStart"/>
      <w:r>
        <w:rPr>
          <w:lang w:val="es-ES"/>
        </w:rPr>
        <w:t>Programme</w:t>
      </w:r>
      <w:proofErr w:type="spellEnd"/>
      <w:r>
        <w:rPr>
          <w:lang w:val="es-ES"/>
        </w:rPr>
        <w:t>/</w:t>
      </w:r>
      <w:proofErr w:type="spellStart"/>
      <w:r>
        <w:rPr>
          <w:lang w:val="es-ES"/>
        </w:rPr>
        <w:t>network</w:t>
      </w:r>
      <w:proofErr w:type="spellEnd"/>
      <w:r>
        <w:rPr>
          <w:lang w:val="es-ES"/>
        </w:rPr>
        <w:t xml:space="preserve"> </w:t>
      </w:r>
      <w:proofErr w:type="spellStart"/>
      <w:r>
        <w:rPr>
          <w:lang w:val="es-ES"/>
        </w:rPr>
        <w:t>affiliation</w:t>
      </w:r>
      <w:proofErr w:type="spellEnd"/>
      <w:r>
        <w:rPr>
          <w:lang w:val="es-ES"/>
        </w:rPr>
        <w:t>) que se encuentra en la sección Vinculación a programas o redes (</w:t>
      </w:r>
      <w:proofErr w:type="spellStart"/>
      <w:r>
        <w:rPr>
          <w:lang w:val="es-ES"/>
        </w:rPr>
        <w:t>Programme</w:t>
      </w:r>
      <w:proofErr w:type="spellEnd"/>
      <w:r>
        <w:rPr>
          <w:lang w:val="es-ES"/>
        </w:rPr>
        <w:t>/</w:t>
      </w:r>
      <w:proofErr w:type="spellStart"/>
      <w:r>
        <w:rPr>
          <w:lang w:val="es-ES"/>
        </w:rPr>
        <w:t>network</w:t>
      </w:r>
      <w:proofErr w:type="spellEnd"/>
      <w:r>
        <w:rPr>
          <w:lang w:val="es-ES"/>
        </w:rPr>
        <w:t xml:space="preserve"> </w:t>
      </w:r>
      <w:proofErr w:type="spellStart"/>
      <w:r>
        <w:rPr>
          <w:lang w:val="es-ES"/>
        </w:rPr>
        <w:t>affiliation</w:t>
      </w:r>
      <w:proofErr w:type="spellEnd"/>
      <w:r>
        <w:rPr>
          <w:lang w:val="es-ES"/>
        </w:rPr>
        <w:t>) (Figura 7.2)</w:t>
      </w:r>
      <w:r w:rsidR="004A747C">
        <w:rPr>
          <w:lang w:val="es-ES"/>
        </w:rPr>
        <w:t>,</w:t>
      </w:r>
      <w:r>
        <w:rPr>
          <w:lang w:val="es-ES"/>
        </w:rPr>
        <w:t xml:space="preserve"> </w:t>
      </w:r>
      <w:r w:rsidR="004A747C">
        <w:rPr>
          <w:lang w:val="es-ES"/>
        </w:rPr>
        <w:t>seleccione</w:t>
      </w:r>
      <w:r>
        <w:rPr>
          <w:lang w:val="es-ES"/>
        </w:rPr>
        <w:t xml:space="preserve"> un país, y después haga clic en </w:t>
      </w:r>
      <w:r w:rsidRPr="005C6A89">
        <w:rPr>
          <w:rStyle w:val="normaltextrun"/>
          <w:b/>
          <w:bCs/>
          <w:color w:val="7F7F7F"/>
          <w:shd w:val="clear" w:color="auto" w:fill="FFFFFF"/>
          <w:lang w:val="es-ES"/>
        </w:rPr>
        <w:t>Buscar</w:t>
      </w:r>
      <w:r>
        <w:rPr>
          <w:lang w:val="es-ES"/>
        </w:rPr>
        <w:t xml:space="preserve"> (</w:t>
      </w:r>
      <w:proofErr w:type="spellStart"/>
      <w:r>
        <w:rPr>
          <w:lang w:val="es-ES"/>
        </w:rPr>
        <w:t>Search</w:t>
      </w:r>
      <w:proofErr w:type="spellEnd"/>
      <w:r>
        <w:rPr>
          <w:lang w:val="es-ES"/>
        </w:rPr>
        <w:t xml:space="preserve">). A </w:t>
      </w:r>
      <w:r w:rsidR="007639AB">
        <w:rPr>
          <w:lang w:val="es-ES"/>
        </w:rPr>
        <w:t>continuación,</w:t>
      </w:r>
      <w:r>
        <w:rPr>
          <w:lang w:val="es-ES"/>
        </w:rPr>
        <w:t xml:space="preserve"> se muestra un ejemplo de resultado de búsqueda </w:t>
      </w:r>
      <w:r w:rsidR="00337D48">
        <w:rPr>
          <w:lang w:val="es-ES"/>
        </w:rPr>
        <w:t xml:space="preserve">correspondiente a Suiza </w:t>
      </w:r>
      <w:r>
        <w:rPr>
          <w:lang w:val="es-ES"/>
        </w:rPr>
        <w:t xml:space="preserve">en mapa (Figura 7.3), </w:t>
      </w:r>
      <w:r w:rsidR="00337D48">
        <w:rPr>
          <w:lang w:val="es-ES"/>
        </w:rPr>
        <w:t>y</w:t>
      </w:r>
      <w:r>
        <w:rPr>
          <w:lang w:val="es-ES"/>
        </w:rPr>
        <w:t xml:space="preserve"> en formato de lista (19 de diciembre de 2022). Se puede acceder a la información de cada estación haciendo clic en una entrada de la lista o en un punto del mapa.</w:t>
      </w:r>
    </w:p>
    <w:p w14:paraId="64F35577" w14:textId="77777777" w:rsidR="000D701F" w:rsidRPr="003530E7" w:rsidRDefault="000D701F" w:rsidP="00C90BAB">
      <w:pPr>
        <w:keepNext/>
        <w:spacing w:before="120" w:line="360" w:lineRule="auto"/>
        <w:jc w:val="center"/>
      </w:pPr>
      <w:r w:rsidRPr="003530E7">
        <w:rPr>
          <w:noProof/>
        </w:rPr>
        <w:lastRenderedPageBreak/>
        <w:drawing>
          <wp:inline distT="0" distB="0" distL="0" distR="0" wp14:anchorId="279265E0" wp14:editId="6EF0D781">
            <wp:extent cx="5105400" cy="6697209"/>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t="2502"/>
                    <a:stretch/>
                  </pic:blipFill>
                  <pic:spPr bwMode="auto">
                    <a:xfrm>
                      <a:off x="0" y="0"/>
                      <a:ext cx="5129926" cy="6729381"/>
                    </a:xfrm>
                    <a:prstGeom prst="rect">
                      <a:avLst/>
                    </a:prstGeom>
                    <a:ln>
                      <a:noFill/>
                    </a:ln>
                    <a:extLst>
                      <a:ext uri="{53640926-AAD7-44D8-BBD7-CCE9431645EC}">
                        <a14:shadowObscured xmlns:a14="http://schemas.microsoft.com/office/drawing/2010/main"/>
                      </a:ext>
                    </a:extLst>
                  </pic:spPr>
                </pic:pic>
              </a:graphicData>
            </a:graphic>
          </wp:inline>
        </w:drawing>
      </w:r>
    </w:p>
    <w:p w14:paraId="66229131" w14:textId="2E274C56" w:rsidR="000D701F" w:rsidRPr="004F4B2D" w:rsidRDefault="000D701F" w:rsidP="00C90BAB">
      <w:pPr>
        <w:pStyle w:val="Caption"/>
        <w:spacing w:before="240" w:after="0" w:line="240" w:lineRule="auto"/>
        <w:jc w:val="center"/>
        <w:rPr>
          <w:lang w:val="es-ES"/>
        </w:rPr>
      </w:pPr>
      <w:r w:rsidRPr="004F4B2D">
        <w:rPr>
          <w:rFonts w:ascii="Verdana" w:hAnsi="Verdana"/>
          <w:color w:val="auto"/>
          <w:sz w:val="20"/>
          <w:szCs w:val="20"/>
          <w:lang w:val="es-ES"/>
        </w:rPr>
        <w:t xml:space="preserve">Figura 7.1: Página de búsqueda </w:t>
      </w:r>
      <w:r w:rsidR="004F4B2D" w:rsidRPr="004F4B2D">
        <w:rPr>
          <w:rFonts w:ascii="Verdana" w:hAnsi="Verdana"/>
          <w:color w:val="auto"/>
          <w:sz w:val="20"/>
          <w:szCs w:val="20"/>
          <w:lang w:val="es-ES"/>
        </w:rPr>
        <w:t>de</w:t>
      </w:r>
      <w:r w:rsidRPr="004F4B2D">
        <w:rPr>
          <w:rFonts w:ascii="Verdana" w:hAnsi="Verdana"/>
          <w:color w:val="auto"/>
          <w:sz w:val="20"/>
          <w:szCs w:val="20"/>
          <w:lang w:val="es-ES"/>
        </w:rPr>
        <w:t xml:space="preserve"> OSCAR/Superficie que permite </w:t>
      </w:r>
      <w:r w:rsidR="00433219">
        <w:rPr>
          <w:rFonts w:ascii="Verdana" w:hAnsi="Verdana"/>
          <w:color w:val="auto"/>
          <w:sz w:val="20"/>
          <w:szCs w:val="20"/>
          <w:lang w:val="es-ES"/>
        </w:rPr>
        <w:br/>
      </w:r>
      <w:r w:rsidRPr="004F4B2D">
        <w:rPr>
          <w:rFonts w:ascii="Verdana" w:hAnsi="Verdana"/>
          <w:color w:val="auto"/>
          <w:sz w:val="20"/>
          <w:szCs w:val="20"/>
          <w:lang w:val="es-ES"/>
        </w:rPr>
        <w:t>encontrar estaciones de la GBON</w:t>
      </w:r>
    </w:p>
    <w:p w14:paraId="5728F245" w14:textId="77777777" w:rsidR="000D701F" w:rsidRPr="003530E7" w:rsidRDefault="000D701F" w:rsidP="00176AE3">
      <w:pPr>
        <w:pStyle w:val="Caption"/>
        <w:spacing w:before="240" w:after="0" w:line="240" w:lineRule="auto"/>
        <w:jc w:val="center"/>
        <w:rPr>
          <w:rFonts w:ascii="Verdana" w:hAnsi="Verdana"/>
          <w:color w:val="auto"/>
          <w:sz w:val="20"/>
          <w:szCs w:val="20"/>
          <w:lang w:val="en-GB"/>
        </w:rPr>
      </w:pPr>
      <w:r w:rsidRPr="003530E7">
        <w:rPr>
          <w:rFonts w:ascii="Verdana" w:hAnsi="Verdana"/>
          <w:noProof/>
          <w:color w:val="auto"/>
          <w:sz w:val="20"/>
          <w:szCs w:val="20"/>
          <w:lang w:val="en-GB"/>
        </w:rPr>
        <w:lastRenderedPageBreak/>
        <w:drawing>
          <wp:inline distT="0" distB="0" distL="0" distR="0" wp14:anchorId="5E6AB1C4" wp14:editId="3E3293C1">
            <wp:extent cx="3415886" cy="351905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423894" cy="3527305"/>
                    </a:xfrm>
                    <a:prstGeom prst="rect">
                      <a:avLst/>
                    </a:prstGeom>
                  </pic:spPr>
                </pic:pic>
              </a:graphicData>
            </a:graphic>
          </wp:inline>
        </w:drawing>
      </w:r>
    </w:p>
    <w:p w14:paraId="58E3295E" w14:textId="34A85111" w:rsidR="000D701F" w:rsidRPr="009F3358" w:rsidRDefault="000D701F" w:rsidP="00C31D05">
      <w:pPr>
        <w:pStyle w:val="Caption"/>
        <w:spacing w:after="240" w:line="240" w:lineRule="exact"/>
        <w:jc w:val="center"/>
        <w:rPr>
          <w:rFonts w:ascii="Verdana" w:hAnsi="Verdana"/>
          <w:color w:val="auto"/>
          <w:sz w:val="20"/>
          <w:szCs w:val="20"/>
          <w:lang w:val="es-ES"/>
        </w:rPr>
      </w:pPr>
      <w:r w:rsidRPr="009F3358">
        <w:rPr>
          <w:rFonts w:ascii="Verdana" w:hAnsi="Verdana"/>
          <w:color w:val="auto"/>
          <w:sz w:val="20"/>
          <w:szCs w:val="20"/>
          <w:lang w:val="es-ES"/>
        </w:rPr>
        <w:t xml:space="preserve">Figura 7.2: Opción de selección "GBON" en el árbol de Vinculación </w:t>
      </w:r>
      <w:r w:rsidR="00433219">
        <w:rPr>
          <w:rFonts w:ascii="Verdana" w:hAnsi="Verdana"/>
          <w:color w:val="auto"/>
          <w:sz w:val="20"/>
          <w:szCs w:val="20"/>
          <w:lang w:val="es-ES"/>
        </w:rPr>
        <w:br/>
      </w:r>
      <w:r w:rsidRPr="009F3358">
        <w:rPr>
          <w:rFonts w:ascii="Verdana" w:hAnsi="Verdana"/>
          <w:color w:val="auto"/>
          <w:sz w:val="20"/>
          <w:szCs w:val="20"/>
          <w:lang w:val="es-ES"/>
        </w:rPr>
        <w:t>a programas o redes</w:t>
      </w:r>
      <w:r w:rsidR="006009BB">
        <w:rPr>
          <w:rFonts w:ascii="Verdana" w:hAnsi="Verdana"/>
          <w:color w:val="auto"/>
          <w:sz w:val="20"/>
          <w:szCs w:val="20"/>
          <w:lang w:val="es-ES"/>
        </w:rPr>
        <w:t xml:space="preserve"> </w:t>
      </w:r>
      <w:r w:rsidR="006009BB" w:rsidRPr="003727E5">
        <w:rPr>
          <w:rFonts w:ascii="Verdana" w:hAnsi="Verdana"/>
          <w:color w:val="auto"/>
          <w:sz w:val="20"/>
          <w:szCs w:val="20"/>
          <w:lang w:val="es-ES"/>
        </w:rPr>
        <w:t>(</w:t>
      </w:r>
      <w:proofErr w:type="spellStart"/>
      <w:r w:rsidR="006009BB" w:rsidRPr="003727E5">
        <w:rPr>
          <w:rFonts w:ascii="Verdana" w:hAnsi="Verdana"/>
          <w:color w:val="auto"/>
          <w:sz w:val="20"/>
          <w:szCs w:val="20"/>
          <w:lang w:val="es-ES"/>
        </w:rPr>
        <w:t>Programme</w:t>
      </w:r>
      <w:proofErr w:type="spellEnd"/>
      <w:r w:rsidR="006009BB" w:rsidRPr="003727E5">
        <w:rPr>
          <w:rFonts w:ascii="Verdana" w:hAnsi="Verdana"/>
          <w:color w:val="auto"/>
          <w:sz w:val="20"/>
          <w:szCs w:val="20"/>
          <w:lang w:val="es-ES"/>
        </w:rPr>
        <w:t>/</w:t>
      </w:r>
      <w:proofErr w:type="spellStart"/>
      <w:r w:rsidR="006009BB" w:rsidRPr="003727E5">
        <w:rPr>
          <w:rFonts w:ascii="Verdana" w:hAnsi="Verdana"/>
          <w:color w:val="auto"/>
          <w:sz w:val="20"/>
          <w:szCs w:val="20"/>
          <w:lang w:val="es-ES"/>
        </w:rPr>
        <w:t>network</w:t>
      </w:r>
      <w:proofErr w:type="spellEnd"/>
      <w:r w:rsidR="006009BB" w:rsidRPr="003727E5">
        <w:rPr>
          <w:rFonts w:ascii="Verdana" w:hAnsi="Verdana"/>
          <w:color w:val="auto"/>
          <w:sz w:val="20"/>
          <w:szCs w:val="20"/>
          <w:lang w:val="es-ES"/>
        </w:rPr>
        <w:t xml:space="preserve"> </w:t>
      </w:r>
      <w:proofErr w:type="spellStart"/>
      <w:r w:rsidR="006009BB" w:rsidRPr="003727E5">
        <w:rPr>
          <w:rFonts w:ascii="Verdana" w:hAnsi="Verdana"/>
          <w:color w:val="auto"/>
          <w:sz w:val="20"/>
          <w:szCs w:val="20"/>
          <w:lang w:val="es-ES"/>
        </w:rPr>
        <w:t>affiliation</w:t>
      </w:r>
      <w:proofErr w:type="spellEnd"/>
      <w:r w:rsidR="006009BB" w:rsidRPr="003727E5">
        <w:rPr>
          <w:rFonts w:ascii="Verdana" w:hAnsi="Verdana"/>
          <w:color w:val="auto"/>
          <w:sz w:val="20"/>
          <w:szCs w:val="20"/>
          <w:lang w:val="es-ES"/>
        </w:rPr>
        <w:t>)</w:t>
      </w:r>
    </w:p>
    <w:p w14:paraId="171F711B" w14:textId="77777777" w:rsidR="00C90BAB" w:rsidRPr="00E4666D" w:rsidRDefault="00C90BAB" w:rsidP="00C90BAB">
      <w:pPr>
        <w:rPr>
          <w:lang w:val="es-ES" w:eastAsia="en-CA"/>
        </w:rPr>
      </w:pPr>
    </w:p>
    <w:p w14:paraId="092FC9EF" w14:textId="77777777" w:rsidR="000D701F" w:rsidRPr="003530E7" w:rsidRDefault="005A76F5" w:rsidP="005A76F5">
      <w:pPr>
        <w:keepNext/>
        <w:spacing w:before="120" w:line="360" w:lineRule="auto"/>
        <w:ind w:left="360"/>
        <w:jc w:val="center"/>
      </w:pPr>
      <w:r w:rsidRPr="003530E7">
        <w:rPr>
          <w:noProof/>
        </w:rPr>
        <w:lastRenderedPageBreak/>
        <w:drawing>
          <wp:inline distT="0" distB="0" distL="0" distR="0" wp14:anchorId="355B2E01" wp14:editId="5A4FDBF3">
            <wp:extent cx="3607422" cy="4617720"/>
            <wp:effectExtent l="0" t="0" r="0" b="0"/>
            <wp:docPr id="32" name="Picture 3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shot from OSCAR-Surface.png"/>
                    <pic:cNvPicPr/>
                  </pic:nvPicPr>
                  <pic:blipFill>
                    <a:blip r:embed="rId85"/>
                    <a:stretch>
                      <a:fillRect/>
                    </a:stretch>
                  </pic:blipFill>
                  <pic:spPr>
                    <a:xfrm>
                      <a:off x="0" y="0"/>
                      <a:ext cx="3618603" cy="4632032"/>
                    </a:xfrm>
                    <a:prstGeom prst="rect">
                      <a:avLst/>
                    </a:prstGeom>
                  </pic:spPr>
                </pic:pic>
              </a:graphicData>
            </a:graphic>
          </wp:inline>
        </w:drawing>
      </w:r>
    </w:p>
    <w:p w14:paraId="09627945" w14:textId="383ABA24" w:rsidR="000D701F" w:rsidRPr="00E4666D" w:rsidRDefault="000D701F" w:rsidP="008C2CFE">
      <w:pPr>
        <w:pStyle w:val="Caption"/>
        <w:spacing w:before="240" w:after="240" w:line="240" w:lineRule="exact"/>
        <w:jc w:val="center"/>
        <w:rPr>
          <w:sz w:val="20"/>
          <w:szCs w:val="20"/>
          <w:lang w:val="es-ES"/>
        </w:rPr>
      </w:pPr>
      <w:r w:rsidRPr="00ED5163">
        <w:rPr>
          <w:rFonts w:ascii="Verdana" w:hAnsi="Verdana"/>
          <w:color w:val="auto"/>
          <w:sz w:val="20"/>
          <w:szCs w:val="20"/>
          <w:lang w:val="es-ES"/>
        </w:rPr>
        <w:t xml:space="preserve">Figura 7.3: Mapa de resultados de búsqueda en el que aparecen las estaciones </w:t>
      </w:r>
      <w:r w:rsidR="00433219">
        <w:rPr>
          <w:rFonts w:ascii="Verdana" w:hAnsi="Verdana"/>
          <w:color w:val="auto"/>
          <w:sz w:val="20"/>
          <w:szCs w:val="20"/>
          <w:lang w:val="es-ES"/>
        </w:rPr>
        <w:br/>
      </w:r>
      <w:r w:rsidRPr="00ED5163">
        <w:rPr>
          <w:rFonts w:ascii="Verdana" w:hAnsi="Verdana"/>
          <w:color w:val="auto"/>
          <w:sz w:val="20"/>
          <w:szCs w:val="20"/>
          <w:lang w:val="es-ES"/>
        </w:rPr>
        <w:t>de la GBON designadas en Suiza (19 de diciembre de 2022)</w:t>
      </w:r>
    </w:p>
    <w:p w14:paraId="21D2FC53" w14:textId="77777777" w:rsidR="000D701F" w:rsidRPr="00E4666D" w:rsidRDefault="000C471C" w:rsidP="00BD3815">
      <w:pPr>
        <w:spacing w:after="240" w:line="240" w:lineRule="exact"/>
        <w:jc w:val="both"/>
        <w:rPr>
          <w:rStyle w:val="normaltextrun"/>
          <w:rFonts w:eastAsia="Verdana" w:cs="Verdana"/>
          <w:b/>
          <w:bCs/>
          <w:lang w:val="es-ES"/>
        </w:rPr>
      </w:pPr>
      <w:r>
        <w:rPr>
          <w:b/>
          <w:bCs/>
          <w:lang w:val="es-ES"/>
        </w:rPr>
        <w:t>7.2.2</w:t>
      </w:r>
      <w:r>
        <w:rPr>
          <w:lang w:val="es-ES"/>
        </w:rPr>
        <w:tab/>
      </w:r>
      <w:r>
        <w:rPr>
          <w:b/>
          <w:bCs/>
          <w:lang w:val="es-ES"/>
        </w:rPr>
        <w:t>Metadatos de una estación de la GBON (informe de estación)</w:t>
      </w:r>
    </w:p>
    <w:p w14:paraId="3626AEBB" w14:textId="47408FDE" w:rsidR="000D701F" w:rsidRDefault="000D701F" w:rsidP="00825D29">
      <w:pPr>
        <w:spacing w:after="240" w:line="240" w:lineRule="exact"/>
        <w:rPr>
          <w:lang w:val="es-ES"/>
        </w:rPr>
      </w:pPr>
      <w:r>
        <w:rPr>
          <w:lang w:val="es-ES"/>
        </w:rPr>
        <w:t xml:space="preserve">El </w:t>
      </w:r>
      <w:r w:rsidRPr="00ED5163">
        <w:rPr>
          <w:rStyle w:val="normaltextrun"/>
          <w:rFonts w:eastAsia="Verdana" w:cs="Verdana"/>
          <w:b/>
          <w:bCs/>
          <w:color w:val="808080" w:themeColor="background1" w:themeShade="80"/>
          <w:lang w:val="es-ES"/>
        </w:rPr>
        <w:t>informe de estación</w:t>
      </w:r>
      <w:r>
        <w:rPr>
          <w:lang w:val="es-ES"/>
        </w:rPr>
        <w:t xml:space="preserve"> (</w:t>
      </w:r>
      <w:proofErr w:type="spellStart"/>
      <w:r>
        <w:rPr>
          <w:lang w:val="es-ES"/>
        </w:rPr>
        <w:t>station</w:t>
      </w:r>
      <w:proofErr w:type="spellEnd"/>
      <w:r>
        <w:rPr>
          <w:lang w:val="es-ES"/>
        </w:rPr>
        <w:t xml:space="preserve"> </w:t>
      </w:r>
      <w:proofErr w:type="spellStart"/>
      <w:r>
        <w:rPr>
          <w:lang w:val="es-ES"/>
        </w:rPr>
        <w:t>report</w:t>
      </w:r>
      <w:proofErr w:type="spellEnd"/>
      <w:r>
        <w:rPr>
          <w:lang w:val="es-ES"/>
        </w:rPr>
        <w:t xml:space="preserve">) (Figura 7.4) se obtiene al hacer clic en una estación de la GBON a partir de la sección de resultados de búsqueda o al buscar una estación específica, utilizando el nombre de la estación o bien el identificador de estación del WIGOS (WSI). El informe de estación es una recopilación de todos los metadatos disponibles de la estación seleccionada, incluido el historial de cambios, de acuerdo con la documentación de </w:t>
      </w:r>
      <w:hyperlink r:id="rId86" w:history="1">
        <w:r w:rsidRPr="00FF20CF">
          <w:rPr>
            <w:rStyle w:val="Hyperlink"/>
            <w:lang w:val="es-ES"/>
          </w:rPr>
          <w:t>OSCAR/Superficie</w:t>
        </w:r>
      </w:hyperlink>
      <w:r>
        <w:rPr>
          <w:lang w:val="es-ES"/>
        </w:rPr>
        <w:t>. El informe de estación se organiza en las cinco secciones siguientes: Características de la estación (</w:t>
      </w:r>
      <w:proofErr w:type="spellStart"/>
      <w:r>
        <w:rPr>
          <w:lang w:val="es-ES"/>
        </w:rPr>
        <w:t>Station</w:t>
      </w:r>
      <w:proofErr w:type="spellEnd"/>
      <w:r>
        <w:rPr>
          <w:lang w:val="es-ES"/>
        </w:rPr>
        <w:t xml:space="preserve"> </w:t>
      </w:r>
      <w:proofErr w:type="spellStart"/>
      <w:r>
        <w:rPr>
          <w:lang w:val="es-ES"/>
        </w:rPr>
        <w:t>characteristics</w:t>
      </w:r>
      <w:proofErr w:type="spellEnd"/>
      <w:r>
        <w:rPr>
          <w:lang w:val="es-ES"/>
        </w:rPr>
        <w:t>), Observaciones/mediciones (</w:t>
      </w:r>
      <w:proofErr w:type="spellStart"/>
      <w:r>
        <w:rPr>
          <w:lang w:val="es-ES"/>
        </w:rPr>
        <w:t>Observations</w:t>
      </w:r>
      <w:proofErr w:type="spellEnd"/>
      <w:r>
        <w:rPr>
          <w:lang w:val="es-ES"/>
        </w:rPr>
        <w:t>/</w:t>
      </w:r>
      <w:proofErr w:type="spellStart"/>
      <w:r>
        <w:rPr>
          <w:lang w:val="es-ES"/>
        </w:rPr>
        <w:t>measurements</w:t>
      </w:r>
      <w:proofErr w:type="spellEnd"/>
      <w:r>
        <w:rPr>
          <w:lang w:val="es-ES"/>
        </w:rPr>
        <w:t>), Contactos en la estación (</w:t>
      </w:r>
      <w:proofErr w:type="spellStart"/>
      <w:r>
        <w:rPr>
          <w:lang w:val="es-ES"/>
        </w:rPr>
        <w:t>Station</w:t>
      </w:r>
      <w:proofErr w:type="spellEnd"/>
      <w:r>
        <w:rPr>
          <w:lang w:val="es-ES"/>
        </w:rPr>
        <w:t xml:space="preserve"> </w:t>
      </w:r>
      <w:proofErr w:type="spellStart"/>
      <w:r>
        <w:rPr>
          <w:lang w:val="es-ES"/>
        </w:rPr>
        <w:t>contacts</w:t>
      </w:r>
      <w:proofErr w:type="spellEnd"/>
      <w:r>
        <w:rPr>
          <w:lang w:val="es-ES"/>
        </w:rPr>
        <w:t>), Referencias bibliográficas (</w:t>
      </w:r>
      <w:proofErr w:type="spellStart"/>
      <w:r>
        <w:rPr>
          <w:lang w:val="es-ES"/>
        </w:rPr>
        <w:t>Bibliographic</w:t>
      </w:r>
      <w:proofErr w:type="spellEnd"/>
      <w:r>
        <w:rPr>
          <w:lang w:val="es-ES"/>
        </w:rPr>
        <w:t xml:space="preserve"> </w:t>
      </w:r>
      <w:proofErr w:type="spellStart"/>
      <w:r>
        <w:rPr>
          <w:lang w:val="es-ES"/>
        </w:rPr>
        <w:t>references</w:t>
      </w:r>
      <w:proofErr w:type="spellEnd"/>
      <w:r>
        <w:rPr>
          <w:lang w:val="es-ES"/>
        </w:rPr>
        <w:t>) y Documentos (</w:t>
      </w:r>
      <w:proofErr w:type="spellStart"/>
      <w:r>
        <w:rPr>
          <w:lang w:val="es-ES"/>
        </w:rPr>
        <w:t>Documents</w:t>
      </w:r>
      <w:proofErr w:type="spellEnd"/>
      <w:r>
        <w:rPr>
          <w:lang w:val="es-ES"/>
        </w:rPr>
        <w:t>), que pueden ampliarse haciendo clic en los botones correspondientes. El informe de estación se puede descargar como un archivo PDF. También se puede descargar una representación de la estación en forma de archivo XML WMDR (representación de metadatos del WIGOS).</w:t>
      </w:r>
    </w:p>
    <w:p w14:paraId="12DC1550" w14:textId="77777777" w:rsidR="008C2CFE" w:rsidRPr="008C2CFE" w:rsidRDefault="008C2CFE" w:rsidP="008C2CFE">
      <w:pPr>
        <w:pStyle w:val="Bodytext"/>
        <w:rPr>
          <w:lang w:val="es-ES"/>
        </w:rPr>
      </w:pPr>
    </w:p>
    <w:p w14:paraId="050A06B7" w14:textId="77777777" w:rsidR="000D701F" w:rsidRPr="003530E7" w:rsidRDefault="000D701F" w:rsidP="000D701F">
      <w:pPr>
        <w:spacing w:before="120" w:line="276" w:lineRule="auto"/>
        <w:ind w:left="360"/>
        <w:rPr>
          <w:rStyle w:val="normaltextrun"/>
          <w:shd w:val="clear" w:color="auto" w:fill="FFFFFF"/>
        </w:rPr>
      </w:pPr>
      <w:r w:rsidRPr="003530E7">
        <w:rPr>
          <w:noProof/>
        </w:rPr>
        <w:drawing>
          <wp:inline distT="0" distB="0" distL="0" distR="0" wp14:anchorId="6080C6EB" wp14:editId="475C1F34">
            <wp:extent cx="5760720" cy="15798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5760720" cy="1579880"/>
                    </a:xfrm>
                    <a:prstGeom prst="rect">
                      <a:avLst/>
                    </a:prstGeom>
                  </pic:spPr>
                </pic:pic>
              </a:graphicData>
            </a:graphic>
          </wp:inline>
        </w:drawing>
      </w:r>
    </w:p>
    <w:p w14:paraId="6CB05898" w14:textId="7347BEBF" w:rsidR="000D701F" w:rsidRPr="003836CA" w:rsidRDefault="000D701F" w:rsidP="008C2CFE">
      <w:pPr>
        <w:pStyle w:val="Caption"/>
        <w:spacing w:before="240" w:after="240" w:line="240" w:lineRule="exact"/>
        <w:jc w:val="center"/>
        <w:rPr>
          <w:rFonts w:ascii="Verdana" w:hAnsi="Verdana"/>
          <w:color w:val="auto"/>
          <w:sz w:val="20"/>
          <w:szCs w:val="20"/>
          <w:lang w:val="es-ES"/>
        </w:rPr>
      </w:pPr>
      <w:r w:rsidRPr="003836CA">
        <w:rPr>
          <w:rFonts w:ascii="Verdana" w:hAnsi="Verdana"/>
          <w:color w:val="auto"/>
          <w:sz w:val="20"/>
          <w:szCs w:val="20"/>
          <w:lang w:val="es-ES"/>
        </w:rPr>
        <w:lastRenderedPageBreak/>
        <w:t xml:space="preserve">Figura 7.4: </w:t>
      </w:r>
      <w:r w:rsidR="00630917" w:rsidRPr="003836CA">
        <w:rPr>
          <w:rFonts w:ascii="Verdana" w:hAnsi="Verdana"/>
          <w:color w:val="auto"/>
          <w:sz w:val="20"/>
          <w:szCs w:val="20"/>
          <w:lang w:val="es-ES"/>
        </w:rPr>
        <w:t>S</w:t>
      </w:r>
      <w:r w:rsidRPr="003836CA">
        <w:rPr>
          <w:rFonts w:ascii="Verdana" w:hAnsi="Verdana"/>
          <w:color w:val="auto"/>
          <w:sz w:val="20"/>
          <w:szCs w:val="20"/>
          <w:lang w:val="es-ES"/>
        </w:rPr>
        <w:t xml:space="preserve">ecciones principales del informe de estación de </w:t>
      </w:r>
      <w:proofErr w:type="spellStart"/>
      <w:r w:rsidRPr="003836CA">
        <w:rPr>
          <w:rFonts w:ascii="Verdana" w:hAnsi="Verdana"/>
          <w:color w:val="auto"/>
          <w:sz w:val="20"/>
          <w:szCs w:val="20"/>
          <w:lang w:val="es-ES"/>
        </w:rPr>
        <w:t>Payerne</w:t>
      </w:r>
      <w:proofErr w:type="spellEnd"/>
    </w:p>
    <w:p w14:paraId="4443AF50" w14:textId="43EE3034" w:rsidR="000D701F" w:rsidRPr="002439E1" w:rsidRDefault="000D701F" w:rsidP="00825D29">
      <w:pPr>
        <w:pStyle w:val="Caption"/>
        <w:spacing w:after="240" w:line="240" w:lineRule="exact"/>
        <w:rPr>
          <w:rFonts w:ascii="Verdana" w:hAnsi="Verdana"/>
          <w:b w:val="0"/>
          <w:bCs w:val="0"/>
          <w:iCs/>
          <w:color w:val="auto"/>
          <w:sz w:val="20"/>
          <w:szCs w:val="20"/>
          <w:lang w:val="es-ES"/>
        </w:rPr>
      </w:pPr>
      <w:r w:rsidRPr="00ED5163">
        <w:rPr>
          <w:rFonts w:ascii="Verdana" w:hAnsi="Verdana"/>
          <w:b w:val="0"/>
          <w:bCs w:val="0"/>
          <w:iCs/>
          <w:color w:val="auto"/>
          <w:sz w:val="20"/>
          <w:szCs w:val="20"/>
          <w:lang w:val="es-ES"/>
        </w:rPr>
        <w:t>La sección Observaciones/mediciones (</w:t>
      </w:r>
      <w:proofErr w:type="spellStart"/>
      <w:r w:rsidRPr="00ED5163">
        <w:rPr>
          <w:rFonts w:ascii="Verdana" w:hAnsi="Verdana"/>
          <w:b w:val="0"/>
          <w:bCs w:val="0"/>
          <w:iCs/>
          <w:color w:val="auto"/>
          <w:sz w:val="20"/>
          <w:szCs w:val="20"/>
          <w:lang w:val="es-ES"/>
        </w:rPr>
        <w:t>Observations</w:t>
      </w:r>
      <w:proofErr w:type="spellEnd"/>
      <w:r w:rsidRPr="00ED5163">
        <w:rPr>
          <w:rFonts w:ascii="Verdana" w:hAnsi="Verdana"/>
          <w:b w:val="0"/>
          <w:bCs w:val="0"/>
          <w:iCs/>
          <w:color w:val="auto"/>
          <w:sz w:val="20"/>
          <w:szCs w:val="20"/>
          <w:lang w:val="es-ES"/>
        </w:rPr>
        <w:t>/</w:t>
      </w:r>
      <w:proofErr w:type="spellStart"/>
      <w:r w:rsidRPr="00ED5163">
        <w:rPr>
          <w:rFonts w:ascii="Verdana" w:hAnsi="Verdana"/>
          <w:b w:val="0"/>
          <w:bCs w:val="0"/>
          <w:iCs/>
          <w:color w:val="auto"/>
          <w:sz w:val="20"/>
          <w:szCs w:val="20"/>
          <w:lang w:val="es-ES"/>
        </w:rPr>
        <w:t>measurements</w:t>
      </w:r>
      <w:proofErr w:type="spellEnd"/>
      <w:r w:rsidRPr="00ED5163">
        <w:rPr>
          <w:rFonts w:ascii="Verdana" w:hAnsi="Verdana"/>
          <w:b w:val="0"/>
          <w:bCs w:val="0"/>
          <w:iCs/>
          <w:color w:val="auto"/>
          <w:sz w:val="20"/>
          <w:szCs w:val="20"/>
          <w:lang w:val="es-ES"/>
        </w:rPr>
        <w:t>) del informe de estación proporciona información de todas las variables que se miden en una estación dada y de los programas o redes a los que está vinculada, que se pueden consultar en la sección Características de la estación (</w:t>
      </w:r>
      <w:proofErr w:type="spellStart"/>
      <w:r w:rsidRPr="00ED5163">
        <w:rPr>
          <w:rFonts w:ascii="Verdana" w:hAnsi="Verdana"/>
          <w:b w:val="0"/>
          <w:bCs w:val="0"/>
          <w:iCs/>
          <w:color w:val="auto"/>
          <w:sz w:val="20"/>
          <w:szCs w:val="20"/>
          <w:lang w:val="es-ES"/>
        </w:rPr>
        <w:t>Station</w:t>
      </w:r>
      <w:proofErr w:type="spellEnd"/>
      <w:r w:rsidRPr="00ED5163">
        <w:rPr>
          <w:rFonts w:ascii="Verdana" w:hAnsi="Verdana"/>
          <w:b w:val="0"/>
          <w:bCs w:val="0"/>
          <w:iCs/>
          <w:color w:val="auto"/>
          <w:sz w:val="20"/>
          <w:szCs w:val="20"/>
          <w:lang w:val="es-ES"/>
        </w:rPr>
        <w:t xml:space="preserve"> </w:t>
      </w:r>
      <w:proofErr w:type="spellStart"/>
      <w:r w:rsidRPr="00ED5163">
        <w:rPr>
          <w:rFonts w:ascii="Verdana" w:hAnsi="Verdana"/>
          <w:b w:val="0"/>
          <w:bCs w:val="0"/>
          <w:iCs/>
          <w:color w:val="auto"/>
          <w:sz w:val="20"/>
          <w:szCs w:val="20"/>
          <w:lang w:val="es-ES"/>
        </w:rPr>
        <w:t>characteristics</w:t>
      </w:r>
      <w:proofErr w:type="spellEnd"/>
      <w:r w:rsidRPr="00ED5163">
        <w:rPr>
          <w:rFonts w:ascii="Verdana" w:hAnsi="Verdana"/>
          <w:b w:val="0"/>
          <w:bCs w:val="0"/>
          <w:iCs/>
          <w:color w:val="auto"/>
          <w:sz w:val="20"/>
          <w:szCs w:val="20"/>
          <w:lang w:val="es-ES"/>
        </w:rPr>
        <w:t xml:space="preserve">). </w:t>
      </w:r>
      <w:r w:rsidRPr="002439E1">
        <w:rPr>
          <w:rFonts w:ascii="Verdana" w:hAnsi="Verdana"/>
          <w:b w:val="0"/>
          <w:bCs w:val="0"/>
          <w:iCs/>
          <w:color w:val="auto"/>
          <w:sz w:val="20"/>
          <w:szCs w:val="20"/>
          <w:lang w:val="es-ES"/>
        </w:rPr>
        <w:t xml:space="preserve">Por ejemplo, la estación de </w:t>
      </w:r>
      <w:proofErr w:type="spellStart"/>
      <w:r w:rsidRPr="002439E1">
        <w:rPr>
          <w:rFonts w:ascii="Verdana" w:hAnsi="Verdana"/>
          <w:b w:val="0"/>
          <w:bCs w:val="0"/>
          <w:iCs/>
          <w:color w:val="auto"/>
          <w:sz w:val="20"/>
          <w:szCs w:val="20"/>
          <w:lang w:val="es-ES"/>
        </w:rPr>
        <w:t>Payerne</w:t>
      </w:r>
      <w:proofErr w:type="spellEnd"/>
      <w:r w:rsidRPr="002439E1">
        <w:rPr>
          <w:rFonts w:ascii="Verdana" w:hAnsi="Verdana"/>
          <w:b w:val="0"/>
          <w:bCs w:val="0"/>
          <w:iCs/>
          <w:color w:val="auto"/>
          <w:sz w:val="20"/>
          <w:szCs w:val="20"/>
          <w:lang w:val="es-ES"/>
        </w:rPr>
        <w:t xml:space="preserve"> (Suiza) está vinculada a la GBON, como se muestra en la </w:t>
      </w:r>
      <w:r w:rsidR="002E59E1" w:rsidRPr="002439E1">
        <w:rPr>
          <w:rFonts w:ascii="Verdana" w:hAnsi="Verdana"/>
          <w:b w:val="0"/>
          <w:bCs w:val="0"/>
          <w:iCs/>
          <w:color w:val="auto"/>
          <w:sz w:val="20"/>
          <w:szCs w:val="20"/>
          <w:lang w:val="es-ES"/>
        </w:rPr>
        <w:t>f</w:t>
      </w:r>
      <w:r w:rsidRPr="002439E1">
        <w:rPr>
          <w:rFonts w:ascii="Verdana" w:hAnsi="Verdana"/>
          <w:b w:val="0"/>
          <w:bCs w:val="0"/>
          <w:iCs/>
          <w:color w:val="auto"/>
          <w:sz w:val="20"/>
          <w:szCs w:val="20"/>
          <w:lang w:val="es-ES"/>
        </w:rPr>
        <w:t>igura 7.5, y la variable presión atmosférica también lo está (Figura 7.6).</w:t>
      </w:r>
    </w:p>
    <w:p w14:paraId="73A95FB5" w14:textId="77777777" w:rsidR="000D701F" w:rsidRPr="003530E7" w:rsidRDefault="000D701F" w:rsidP="00D201EC">
      <w:pPr>
        <w:pStyle w:val="Caption"/>
        <w:ind w:left="360"/>
        <w:jc w:val="center"/>
        <w:rPr>
          <w:rFonts w:ascii="Verdana" w:hAnsi="Verdana"/>
          <w:i/>
          <w:iCs/>
          <w:sz w:val="20"/>
          <w:szCs w:val="20"/>
          <w:lang w:val="en-GB"/>
        </w:rPr>
      </w:pPr>
      <w:r w:rsidRPr="003530E7">
        <w:rPr>
          <w:rFonts w:ascii="Verdana" w:hAnsi="Verdana"/>
          <w:i/>
          <w:iCs/>
          <w:noProof/>
          <w:sz w:val="20"/>
          <w:szCs w:val="20"/>
          <w:lang w:val="en-GB"/>
        </w:rPr>
        <w:drawing>
          <wp:inline distT="0" distB="0" distL="0" distR="0" wp14:anchorId="3425F511" wp14:editId="2F376B96">
            <wp:extent cx="5859812" cy="193236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89631" cy="1942200"/>
                    </a:xfrm>
                    <a:prstGeom prst="rect">
                      <a:avLst/>
                    </a:prstGeom>
                    <a:noFill/>
                    <a:ln>
                      <a:noFill/>
                    </a:ln>
                  </pic:spPr>
                </pic:pic>
              </a:graphicData>
            </a:graphic>
          </wp:inline>
        </w:drawing>
      </w:r>
    </w:p>
    <w:p w14:paraId="43C9A62E" w14:textId="30BAE8EB" w:rsidR="000D701F" w:rsidRPr="005E73C9" w:rsidRDefault="000D701F" w:rsidP="008C2CFE">
      <w:pPr>
        <w:pStyle w:val="Caption"/>
        <w:spacing w:before="240" w:after="240" w:line="240" w:lineRule="exact"/>
        <w:jc w:val="center"/>
        <w:rPr>
          <w:rFonts w:ascii="Verdana" w:hAnsi="Verdana"/>
          <w:color w:val="auto"/>
          <w:sz w:val="20"/>
          <w:szCs w:val="20"/>
          <w:lang w:val="es-ES"/>
        </w:rPr>
      </w:pPr>
      <w:r w:rsidRPr="005E73C9">
        <w:rPr>
          <w:rFonts w:ascii="Verdana" w:hAnsi="Verdana"/>
          <w:color w:val="auto"/>
          <w:sz w:val="20"/>
          <w:szCs w:val="20"/>
          <w:lang w:val="es-ES"/>
        </w:rPr>
        <w:t xml:space="preserve">Figura 7.5: </w:t>
      </w:r>
      <w:r w:rsidR="00630917">
        <w:rPr>
          <w:rFonts w:ascii="Verdana" w:hAnsi="Verdana"/>
          <w:color w:val="auto"/>
          <w:sz w:val="20"/>
          <w:szCs w:val="20"/>
          <w:lang w:val="es-ES"/>
        </w:rPr>
        <w:t>S</w:t>
      </w:r>
      <w:r w:rsidRPr="005E73C9">
        <w:rPr>
          <w:rFonts w:ascii="Verdana" w:hAnsi="Verdana"/>
          <w:color w:val="auto"/>
          <w:sz w:val="20"/>
          <w:szCs w:val="20"/>
          <w:lang w:val="es-ES"/>
        </w:rPr>
        <w:t>ección Vinculación a programas o redes</w:t>
      </w:r>
      <w:r w:rsidRPr="003727E5">
        <w:rPr>
          <w:rFonts w:ascii="Verdana" w:hAnsi="Verdana"/>
          <w:color w:val="auto"/>
          <w:sz w:val="20"/>
          <w:szCs w:val="20"/>
          <w:lang w:val="es-ES"/>
        </w:rPr>
        <w:t xml:space="preserve"> (</w:t>
      </w:r>
      <w:proofErr w:type="spellStart"/>
      <w:r w:rsidRPr="003727E5">
        <w:rPr>
          <w:rFonts w:ascii="Verdana" w:hAnsi="Verdana"/>
          <w:color w:val="auto"/>
          <w:sz w:val="20"/>
          <w:szCs w:val="20"/>
          <w:lang w:val="es-ES"/>
        </w:rPr>
        <w:t>Programme</w:t>
      </w:r>
      <w:proofErr w:type="spellEnd"/>
      <w:r w:rsidRPr="003727E5">
        <w:rPr>
          <w:rFonts w:ascii="Verdana" w:hAnsi="Verdana"/>
          <w:color w:val="auto"/>
          <w:sz w:val="20"/>
          <w:szCs w:val="20"/>
          <w:lang w:val="es-ES"/>
        </w:rPr>
        <w:t>/</w:t>
      </w:r>
      <w:proofErr w:type="spellStart"/>
      <w:r w:rsidRPr="003727E5">
        <w:rPr>
          <w:rFonts w:ascii="Verdana" w:hAnsi="Verdana"/>
          <w:color w:val="auto"/>
          <w:sz w:val="20"/>
          <w:szCs w:val="20"/>
          <w:lang w:val="es-ES"/>
        </w:rPr>
        <w:t>network</w:t>
      </w:r>
      <w:proofErr w:type="spellEnd"/>
      <w:r w:rsidRPr="003727E5">
        <w:rPr>
          <w:rFonts w:ascii="Verdana" w:hAnsi="Verdana"/>
          <w:color w:val="auto"/>
          <w:sz w:val="20"/>
          <w:szCs w:val="20"/>
          <w:lang w:val="es-ES"/>
        </w:rPr>
        <w:t xml:space="preserve"> </w:t>
      </w:r>
      <w:proofErr w:type="spellStart"/>
      <w:r w:rsidRPr="003727E5">
        <w:rPr>
          <w:rFonts w:ascii="Verdana" w:hAnsi="Verdana"/>
          <w:color w:val="auto"/>
          <w:sz w:val="20"/>
          <w:szCs w:val="20"/>
          <w:lang w:val="es-ES"/>
        </w:rPr>
        <w:t>affiliation</w:t>
      </w:r>
      <w:proofErr w:type="spellEnd"/>
      <w:r w:rsidRPr="003727E5">
        <w:rPr>
          <w:rFonts w:ascii="Verdana" w:hAnsi="Verdana"/>
          <w:color w:val="auto"/>
          <w:sz w:val="20"/>
          <w:szCs w:val="20"/>
          <w:lang w:val="es-ES"/>
        </w:rPr>
        <w:t>)</w:t>
      </w:r>
      <w:r w:rsidRPr="005E73C9">
        <w:rPr>
          <w:rFonts w:ascii="Verdana" w:hAnsi="Verdana"/>
          <w:color w:val="auto"/>
          <w:sz w:val="20"/>
          <w:szCs w:val="20"/>
          <w:lang w:val="es-ES"/>
        </w:rPr>
        <w:t xml:space="preserve"> del informe de estación de </w:t>
      </w:r>
      <w:proofErr w:type="spellStart"/>
      <w:r w:rsidRPr="005E73C9">
        <w:rPr>
          <w:rFonts w:ascii="Verdana" w:hAnsi="Verdana"/>
          <w:color w:val="auto"/>
          <w:sz w:val="20"/>
          <w:szCs w:val="20"/>
          <w:lang w:val="es-ES"/>
        </w:rPr>
        <w:t>Payerne</w:t>
      </w:r>
      <w:proofErr w:type="spellEnd"/>
    </w:p>
    <w:p w14:paraId="5018E947" w14:textId="77777777" w:rsidR="000D701F" w:rsidRPr="003530E7" w:rsidRDefault="000D701F" w:rsidP="000D701F">
      <w:pPr>
        <w:pStyle w:val="Caption"/>
        <w:keepNext/>
        <w:rPr>
          <w:lang w:val="en-GB"/>
        </w:rPr>
      </w:pPr>
      <w:r w:rsidRPr="003530E7">
        <w:rPr>
          <w:noProof/>
          <w:lang w:val="en-GB"/>
        </w:rPr>
        <w:drawing>
          <wp:inline distT="0" distB="0" distL="0" distR="0" wp14:anchorId="7C272E3C" wp14:editId="06259E59">
            <wp:extent cx="5760720" cy="310326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60720" cy="3103265"/>
                    </a:xfrm>
                    <a:prstGeom prst="rect">
                      <a:avLst/>
                    </a:prstGeom>
                  </pic:spPr>
                </pic:pic>
              </a:graphicData>
            </a:graphic>
          </wp:inline>
        </w:drawing>
      </w:r>
    </w:p>
    <w:p w14:paraId="66BA1EE2" w14:textId="6D0B51AE" w:rsidR="000D701F" w:rsidRPr="00107FBD" w:rsidRDefault="000D701F" w:rsidP="008C2CFE">
      <w:pPr>
        <w:pStyle w:val="Caption"/>
        <w:spacing w:before="360" w:after="240" w:line="240" w:lineRule="exact"/>
        <w:jc w:val="center"/>
        <w:rPr>
          <w:rFonts w:ascii="Verdana" w:hAnsi="Verdana"/>
          <w:color w:val="auto"/>
          <w:sz w:val="20"/>
          <w:szCs w:val="20"/>
          <w:lang w:val="es-ES"/>
        </w:rPr>
      </w:pPr>
      <w:r w:rsidRPr="00107FBD">
        <w:rPr>
          <w:rFonts w:ascii="Verdana" w:hAnsi="Verdana"/>
          <w:color w:val="auto"/>
          <w:sz w:val="20"/>
          <w:szCs w:val="20"/>
          <w:lang w:val="es-ES"/>
        </w:rPr>
        <w:t xml:space="preserve">Figura 7.6: </w:t>
      </w:r>
      <w:r w:rsidR="00630917">
        <w:rPr>
          <w:rFonts w:ascii="Verdana" w:hAnsi="Verdana"/>
          <w:color w:val="auto"/>
          <w:sz w:val="20"/>
          <w:szCs w:val="20"/>
          <w:lang w:val="es-ES"/>
        </w:rPr>
        <w:t>S</w:t>
      </w:r>
      <w:r w:rsidRPr="00107FBD">
        <w:rPr>
          <w:rFonts w:ascii="Verdana" w:hAnsi="Verdana"/>
          <w:color w:val="auto"/>
          <w:sz w:val="20"/>
          <w:szCs w:val="20"/>
          <w:lang w:val="es-ES"/>
        </w:rPr>
        <w:t>ección Observaciones/mediciones (</w:t>
      </w:r>
      <w:proofErr w:type="spellStart"/>
      <w:r w:rsidR="00107FBD" w:rsidRPr="00107FBD">
        <w:rPr>
          <w:rFonts w:ascii="Verdana" w:hAnsi="Verdana"/>
          <w:color w:val="auto"/>
          <w:sz w:val="20"/>
          <w:szCs w:val="20"/>
          <w:lang w:val="es-ES"/>
        </w:rPr>
        <w:t>O</w:t>
      </w:r>
      <w:r w:rsidRPr="00107FBD">
        <w:rPr>
          <w:rFonts w:ascii="Verdana" w:hAnsi="Verdana"/>
          <w:color w:val="auto"/>
          <w:sz w:val="20"/>
          <w:szCs w:val="20"/>
          <w:lang w:val="es-ES"/>
        </w:rPr>
        <w:t>bservations</w:t>
      </w:r>
      <w:proofErr w:type="spellEnd"/>
      <w:r w:rsidRPr="00107FBD">
        <w:rPr>
          <w:rFonts w:ascii="Verdana" w:hAnsi="Verdana"/>
          <w:color w:val="auto"/>
          <w:sz w:val="20"/>
          <w:szCs w:val="20"/>
          <w:lang w:val="es-ES"/>
        </w:rPr>
        <w:t>/</w:t>
      </w:r>
      <w:proofErr w:type="spellStart"/>
      <w:r w:rsidRPr="00107FBD">
        <w:rPr>
          <w:rFonts w:ascii="Verdana" w:hAnsi="Verdana"/>
          <w:color w:val="auto"/>
          <w:sz w:val="20"/>
          <w:szCs w:val="20"/>
          <w:lang w:val="es-ES"/>
        </w:rPr>
        <w:t>measurements</w:t>
      </w:r>
      <w:proofErr w:type="spellEnd"/>
      <w:r w:rsidRPr="00107FBD">
        <w:rPr>
          <w:rFonts w:ascii="Verdana" w:hAnsi="Verdana"/>
          <w:color w:val="auto"/>
          <w:sz w:val="20"/>
          <w:szCs w:val="20"/>
          <w:lang w:val="es-ES"/>
        </w:rPr>
        <w:t>) del</w:t>
      </w:r>
      <w:r w:rsidR="008C2CFE">
        <w:rPr>
          <w:rFonts w:ascii="Verdana" w:hAnsi="Verdana"/>
          <w:color w:val="auto"/>
          <w:sz w:val="20"/>
          <w:szCs w:val="20"/>
          <w:lang w:val="es-ES"/>
        </w:rPr>
        <w:t> </w:t>
      </w:r>
      <w:r w:rsidRPr="00107FBD">
        <w:rPr>
          <w:rFonts w:ascii="Verdana" w:hAnsi="Verdana"/>
          <w:color w:val="auto"/>
          <w:sz w:val="20"/>
          <w:szCs w:val="20"/>
          <w:lang w:val="es-ES"/>
        </w:rPr>
        <w:t xml:space="preserve">informe de estación de </w:t>
      </w:r>
      <w:proofErr w:type="spellStart"/>
      <w:r w:rsidRPr="00107FBD">
        <w:rPr>
          <w:rFonts w:ascii="Verdana" w:hAnsi="Verdana"/>
          <w:color w:val="auto"/>
          <w:sz w:val="20"/>
          <w:szCs w:val="20"/>
          <w:lang w:val="es-ES"/>
        </w:rPr>
        <w:t>Payerne</w:t>
      </w:r>
      <w:proofErr w:type="spellEnd"/>
    </w:p>
    <w:p w14:paraId="0D3FB8FE" w14:textId="77777777" w:rsidR="000D701F" w:rsidRPr="00E4666D" w:rsidRDefault="000C471C" w:rsidP="008C2CFE">
      <w:pPr>
        <w:spacing w:before="480" w:after="200" w:line="276" w:lineRule="auto"/>
        <w:outlineLvl w:val="2"/>
        <w:rPr>
          <w:rStyle w:val="normaltextrun"/>
          <w:rFonts w:eastAsia="Verdana" w:cs="Verdana"/>
          <w:b/>
          <w:bCs/>
          <w:lang w:val="es-ES"/>
        </w:rPr>
      </w:pPr>
      <w:r>
        <w:rPr>
          <w:b/>
          <w:bCs/>
          <w:lang w:val="es-ES"/>
        </w:rPr>
        <w:t>7.3</w:t>
      </w:r>
      <w:r>
        <w:rPr>
          <w:lang w:val="es-ES"/>
        </w:rPr>
        <w:tab/>
      </w:r>
      <w:r>
        <w:rPr>
          <w:b/>
          <w:bCs/>
          <w:lang w:val="es-ES"/>
        </w:rPr>
        <w:t>Crear una nueva estación de la GBON</w:t>
      </w:r>
    </w:p>
    <w:p w14:paraId="60A8A989" w14:textId="77777777" w:rsidR="000D701F" w:rsidRPr="00E4666D" w:rsidRDefault="000D701F" w:rsidP="008C2CFE">
      <w:pPr>
        <w:spacing w:after="240" w:line="240" w:lineRule="exact"/>
        <w:rPr>
          <w:rStyle w:val="normaltextrun"/>
          <w:rFonts w:eastAsia="Verdana" w:cs="Verdana"/>
          <w:lang w:val="es-ES"/>
        </w:rPr>
      </w:pPr>
      <w:r>
        <w:rPr>
          <w:lang w:val="es-ES"/>
        </w:rPr>
        <w:t>Existen varios métodos distintos para crear estaciones, que se describen en las secciones siguientes.</w:t>
      </w:r>
    </w:p>
    <w:p w14:paraId="417CCEA0" w14:textId="72C10B91" w:rsidR="000D701F" w:rsidRPr="00E4666D" w:rsidRDefault="000D701F" w:rsidP="008C2CFE">
      <w:pPr>
        <w:spacing w:after="240" w:line="240" w:lineRule="exact"/>
        <w:rPr>
          <w:rStyle w:val="normaltextrun"/>
          <w:rFonts w:eastAsia="Verdana" w:cs="Verdana"/>
          <w:lang w:val="es-ES"/>
        </w:rPr>
      </w:pPr>
      <w:r>
        <w:rPr>
          <w:lang w:val="es-ES"/>
        </w:rPr>
        <w:t xml:space="preserve">Los cuatro métodos para crear estaciones en </w:t>
      </w:r>
      <w:hyperlink r:id="rId90" w:history="1">
        <w:r w:rsidRPr="00963211">
          <w:rPr>
            <w:rStyle w:val="Hyperlink"/>
            <w:lang w:val="es-ES"/>
          </w:rPr>
          <w:t>OSCAR/Superficie</w:t>
        </w:r>
      </w:hyperlink>
      <w:r>
        <w:rPr>
          <w:lang w:val="es-ES"/>
        </w:rPr>
        <w:t xml:space="preserve"> incluyen el formulario genérico de estación, los formularios de plantillas de estación, la herramienta web cliente y la carga de </w:t>
      </w:r>
      <w:r>
        <w:rPr>
          <w:lang w:val="es-ES"/>
        </w:rPr>
        <w:lastRenderedPageBreak/>
        <w:t xml:space="preserve">XML. El formulario genérico ofrece la posibilidad de visualizar y editar manualmente todos los campos de </w:t>
      </w:r>
      <w:hyperlink r:id="rId91" w:history="1">
        <w:r w:rsidRPr="00963211">
          <w:rPr>
            <w:rStyle w:val="Hyperlink"/>
            <w:lang w:val="es-ES"/>
          </w:rPr>
          <w:t>OSCAR/Superficie</w:t>
        </w:r>
      </w:hyperlink>
      <w:r>
        <w:rPr>
          <w:lang w:val="es-ES"/>
        </w:rPr>
        <w:t xml:space="preserve"> y está pensado para usuarios avanzados que desean tener un control total. Los formularios de plantillas de estación facilitan la creación de una nueva estación y están destinados a usuarios que desean </w:t>
      </w:r>
      <w:r w:rsidR="00470BC0">
        <w:rPr>
          <w:lang w:val="es-ES"/>
        </w:rPr>
        <w:t>crear</w:t>
      </w:r>
      <w:r>
        <w:rPr>
          <w:lang w:val="es-ES"/>
        </w:rPr>
        <w:t xml:space="preserve"> la estación de forma rápida a partir de un conjunto de valores predefinidos para diferentes tipos de plantillas de estación. La </w:t>
      </w:r>
      <w:hyperlink r:id="rId92" w:history="1">
        <w:r w:rsidRPr="00963211">
          <w:rPr>
            <w:rStyle w:val="Hyperlink"/>
            <w:lang w:val="es-ES"/>
          </w:rPr>
          <w:t>herramienta web cliente</w:t>
        </w:r>
      </w:hyperlink>
      <w:r>
        <w:rPr>
          <w:lang w:val="es-ES"/>
        </w:rPr>
        <w:t xml:space="preserve"> ofrece la posibilidad de crear un conjunto de estaciones de forma sencilla y automatizada. La carga de XML está dirigida a usuarios avanzados de </w:t>
      </w:r>
      <w:hyperlink r:id="rId93" w:history="1">
        <w:r w:rsidRPr="00963211">
          <w:rPr>
            <w:rStyle w:val="Hyperlink"/>
            <w:lang w:val="es-ES"/>
          </w:rPr>
          <w:t>OSCAR/Superficie</w:t>
        </w:r>
      </w:hyperlink>
      <w:r>
        <w:rPr>
          <w:lang w:val="es-ES"/>
        </w:rPr>
        <w:t xml:space="preserve"> o al intercambio de metadatos en un formato legible de equipo a equipo.</w:t>
      </w:r>
    </w:p>
    <w:p w14:paraId="6C0FB281" w14:textId="0A3DCBB6" w:rsidR="000D701F" w:rsidRPr="00E4666D" w:rsidRDefault="000C471C" w:rsidP="008C2CFE">
      <w:pPr>
        <w:spacing w:after="240" w:line="240" w:lineRule="exact"/>
        <w:ind w:left="1134" w:hanging="1134"/>
        <w:rPr>
          <w:rStyle w:val="normaltextrun"/>
          <w:rFonts w:eastAsia="Verdana" w:cs="Verdana"/>
          <w:b/>
          <w:bCs/>
          <w:lang w:val="es-ES"/>
        </w:rPr>
      </w:pPr>
      <w:r>
        <w:rPr>
          <w:b/>
          <w:bCs/>
          <w:lang w:val="es-ES"/>
        </w:rPr>
        <w:t>7.3.1</w:t>
      </w:r>
      <w:r>
        <w:rPr>
          <w:lang w:val="es-ES"/>
        </w:rPr>
        <w:tab/>
      </w:r>
      <w:r>
        <w:rPr>
          <w:b/>
          <w:bCs/>
          <w:lang w:val="es-ES"/>
        </w:rPr>
        <w:t>Cómo utilizar el formulario genérico para crear una nueva estación de la</w:t>
      </w:r>
      <w:r w:rsidR="008C2CFE">
        <w:rPr>
          <w:b/>
          <w:bCs/>
          <w:lang w:val="es-ES"/>
        </w:rPr>
        <w:t> </w:t>
      </w:r>
      <w:r>
        <w:rPr>
          <w:b/>
          <w:bCs/>
          <w:lang w:val="es-ES"/>
        </w:rPr>
        <w:t>GBON</w:t>
      </w:r>
    </w:p>
    <w:p w14:paraId="313FEBA9" w14:textId="654F3532" w:rsidR="000D701F" w:rsidRPr="00E4666D" w:rsidRDefault="000D701F" w:rsidP="008C2CFE">
      <w:pPr>
        <w:spacing w:after="240" w:line="240" w:lineRule="exact"/>
        <w:rPr>
          <w:rStyle w:val="normaltextrun"/>
          <w:color w:val="000000"/>
          <w:shd w:val="clear" w:color="auto" w:fill="FFFFFF"/>
          <w:lang w:val="es-ES"/>
        </w:rPr>
      </w:pPr>
      <w:r>
        <w:rPr>
          <w:lang w:val="es-ES"/>
        </w:rPr>
        <w:t>La página del formulario genérico (</w:t>
      </w:r>
      <w:proofErr w:type="spellStart"/>
      <w:r>
        <w:rPr>
          <w:lang w:val="es-ES"/>
        </w:rPr>
        <w:t>Generic</w:t>
      </w:r>
      <w:proofErr w:type="spellEnd"/>
      <w:r>
        <w:rPr>
          <w:lang w:val="es-ES"/>
        </w:rPr>
        <w:t xml:space="preserve"> </w:t>
      </w:r>
      <w:proofErr w:type="spellStart"/>
      <w:r>
        <w:rPr>
          <w:lang w:val="es-ES"/>
        </w:rPr>
        <w:t>form</w:t>
      </w:r>
      <w:proofErr w:type="spellEnd"/>
      <w:r>
        <w:rPr>
          <w:lang w:val="es-ES"/>
        </w:rPr>
        <w:t>) se divide en las mismas cinco secciones que la página de informe de estación: Características de la estación (</w:t>
      </w:r>
      <w:proofErr w:type="spellStart"/>
      <w:r>
        <w:rPr>
          <w:lang w:val="es-ES"/>
        </w:rPr>
        <w:t>Station</w:t>
      </w:r>
      <w:proofErr w:type="spellEnd"/>
      <w:r>
        <w:rPr>
          <w:lang w:val="es-ES"/>
        </w:rPr>
        <w:t xml:space="preserve"> </w:t>
      </w:r>
      <w:proofErr w:type="spellStart"/>
      <w:r>
        <w:rPr>
          <w:lang w:val="es-ES"/>
        </w:rPr>
        <w:t>characteristics</w:t>
      </w:r>
      <w:proofErr w:type="spellEnd"/>
      <w:r>
        <w:rPr>
          <w:lang w:val="es-ES"/>
        </w:rPr>
        <w:t>), Observaciones/mediciones (</w:t>
      </w:r>
      <w:proofErr w:type="spellStart"/>
      <w:r>
        <w:rPr>
          <w:lang w:val="es-ES"/>
        </w:rPr>
        <w:t>Observations</w:t>
      </w:r>
      <w:proofErr w:type="spellEnd"/>
      <w:r>
        <w:rPr>
          <w:lang w:val="es-ES"/>
        </w:rPr>
        <w:t>/</w:t>
      </w:r>
      <w:proofErr w:type="spellStart"/>
      <w:r>
        <w:rPr>
          <w:lang w:val="es-ES"/>
        </w:rPr>
        <w:t>measurements</w:t>
      </w:r>
      <w:proofErr w:type="spellEnd"/>
      <w:r>
        <w:rPr>
          <w:lang w:val="es-ES"/>
        </w:rPr>
        <w:t>), Contactos en la estación (</w:t>
      </w:r>
      <w:proofErr w:type="spellStart"/>
      <w:r>
        <w:rPr>
          <w:lang w:val="es-ES"/>
        </w:rPr>
        <w:t>Station</w:t>
      </w:r>
      <w:proofErr w:type="spellEnd"/>
      <w:r>
        <w:rPr>
          <w:lang w:val="es-ES"/>
        </w:rPr>
        <w:t xml:space="preserve"> </w:t>
      </w:r>
      <w:proofErr w:type="spellStart"/>
      <w:r>
        <w:rPr>
          <w:lang w:val="es-ES"/>
        </w:rPr>
        <w:t>contacts</w:t>
      </w:r>
      <w:proofErr w:type="spellEnd"/>
      <w:r>
        <w:rPr>
          <w:lang w:val="es-ES"/>
        </w:rPr>
        <w:t>), Referencias bibliográficas (</w:t>
      </w:r>
      <w:proofErr w:type="spellStart"/>
      <w:r>
        <w:rPr>
          <w:lang w:val="es-ES"/>
        </w:rPr>
        <w:t>Bibliographic</w:t>
      </w:r>
      <w:proofErr w:type="spellEnd"/>
      <w:r>
        <w:rPr>
          <w:lang w:val="es-ES"/>
        </w:rPr>
        <w:t xml:space="preserve"> </w:t>
      </w:r>
      <w:proofErr w:type="spellStart"/>
      <w:r>
        <w:rPr>
          <w:lang w:val="es-ES"/>
        </w:rPr>
        <w:t>references</w:t>
      </w:r>
      <w:proofErr w:type="spellEnd"/>
      <w:r>
        <w:rPr>
          <w:lang w:val="es-ES"/>
        </w:rPr>
        <w:t>) y Documentos (</w:t>
      </w:r>
      <w:proofErr w:type="spellStart"/>
      <w:r>
        <w:rPr>
          <w:lang w:val="es-ES"/>
        </w:rPr>
        <w:t>Documents</w:t>
      </w:r>
      <w:proofErr w:type="spellEnd"/>
      <w:r>
        <w:rPr>
          <w:lang w:val="es-ES"/>
        </w:rPr>
        <w:t xml:space="preserve">). El usuario registrado, por lo general un coordinador nacional de OSCAR/Superficie, puede introducir o editar la información contenida en cada una de esas secciones. Algunos elementos, como el nombre de la estación, son obligatorios para guardar una estación en </w:t>
      </w:r>
      <w:hyperlink r:id="rId94" w:history="1">
        <w:r w:rsidRPr="00B377E2">
          <w:rPr>
            <w:rStyle w:val="Hyperlink"/>
            <w:lang w:val="es-ES"/>
          </w:rPr>
          <w:t>OSCAR/Superficie</w:t>
        </w:r>
      </w:hyperlink>
      <w:r>
        <w:rPr>
          <w:lang w:val="es-ES"/>
        </w:rPr>
        <w:t>. La estación no puede guardarse a menos que se hayan proporcionado todos los elementos obligatorios en OSCAR/Superficie (señalados con un asterisco rojo).</w:t>
      </w:r>
    </w:p>
    <w:p w14:paraId="7C408257" w14:textId="32ED63C0" w:rsidR="000D701F" w:rsidRPr="00E4666D" w:rsidRDefault="000D701F" w:rsidP="008C2CFE">
      <w:pPr>
        <w:spacing w:after="240" w:line="240" w:lineRule="exact"/>
        <w:rPr>
          <w:rStyle w:val="normaltextrun"/>
          <w:color w:val="000000"/>
          <w:shd w:val="clear" w:color="auto" w:fill="FFFFFF"/>
          <w:lang w:val="es-ES"/>
        </w:rPr>
      </w:pPr>
      <w:r>
        <w:rPr>
          <w:lang w:val="es-ES"/>
        </w:rPr>
        <w:t xml:space="preserve">Para </w:t>
      </w:r>
      <w:r w:rsidR="00162282">
        <w:rPr>
          <w:lang w:val="es-ES"/>
        </w:rPr>
        <w:t xml:space="preserve">asignar </w:t>
      </w:r>
      <w:r>
        <w:rPr>
          <w:lang w:val="es-ES"/>
        </w:rPr>
        <w:t xml:space="preserve">una nueva estación creada con la plantilla genérica </w:t>
      </w:r>
      <w:r w:rsidR="00162282">
        <w:rPr>
          <w:lang w:val="es-ES"/>
        </w:rPr>
        <w:t>a</w:t>
      </w:r>
      <w:r>
        <w:rPr>
          <w:lang w:val="es-ES"/>
        </w:rPr>
        <w:t xml:space="preserve"> la GBON, es necesario vincularla a la GBON en la sección Vinculación a programas o redes (</w:t>
      </w:r>
      <w:proofErr w:type="spellStart"/>
      <w:r>
        <w:rPr>
          <w:lang w:val="es-ES"/>
        </w:rPr>
        <w:t>Programme</w:t>
      </w:r>
      <w:proofErr w:type="spellEnd"/>
      <w:r>
        <w:rPr>
          <w:lang w:val="es-ES"/>
        </w:rPr>
        <w:t>/</w:t>
      </w:r>
      <w:proofErr w:type="spellStart"/>
      <w:r>
        <w:rPr>
          <w:lang w:val="es-ES"/>
        </w:rPr>
        <w:t>network</w:t>
      </w:r>
      <w:proofErr w:type="spellEnd"/>
      <w:r>
        <w:rPr>
          <w:lang w:val="es-ES"/>
        </w:rPr>
        <w:t xml:space="preserve"> </w:t>
      </w:r>
      <w:proofErr w:type="spellStart"/>
      <w:r>
        <w:rPr>
          <w:lang w:val="es-ES"/>
        </w:rPr>
        <w:t>affiliation</w:t>
      </w:r>
      <w:proofErr w:type="spellEnd"/>
      <w:r>
        <w:rPr>
          <w:lang w:val="es-ES"/>
        </w:rPr>
        <w:t xml:space="preserve">) (Figura 7.7). </w:t>
      </w:r>
      <w:r w:rsidR="00E732B2">
        <w:rPr>
          <w:lang w:val="es-ES"/>
        </w:rPr>
        <w:t>Para ello</w:t>
      </w:r>
      <w:r>
        <w:rPr>
          <w:lang w:val="es-ES"/>
        </w:rPr>
        <w:t xml:space="preserve">, </w:t>
      </w:r>
      <w:r w:rsidR="00A00287">
        <w:rPr>
          <w:lang w:val="es-ES"/>
        </w:rPr>
        <w:t>busque</w:t>
      </w:r>
      <w:r>
        <w:rPr>
          <w:lang w:val="es-ES"/>
        </w:rPr>
        <w:t xml:space="preserve"> la entrada "GBON" en el árbol de Vinculación a programas o redes (</w:t>
      </w:r>
      <w:proofErr w:type="spellStart"/>
      <w:r>
        <w:rPr>
          <w:lang w:val="es-ES"/>
        </w:rPr>
        <w:t>Programme</w:t>
      </w:r>
      <w:proofErr w:type="spellEnd"/>
      <w:r>
        <w:rPr>
          <w:lang w:val="es-ES"/>
        </w:rPr>
        <w:t>/</w:t>
      </w:r>
      <w:proofErr w:type="spellStart"/>
      <w:r>
        <w:rPr>
          <w:lang w:val="es-ES"/>
        </w:rPr>
        <w:t>network</w:t>
      </w:r>
      <w:proofErr w:type="spellEnd"/>
      <w:r>
        <w:rPr>
          <w:lang w:val="es-ES"/>
        </w:rPr>
        <w:t xml:space="preserve"> </w:t>
      </w:r>
      <w:proofErr w:type="spellStart"/>
      <w:r>
        <w:rPr>
          <w:lang w:val="es-ES"/>
        </w:rPr>
        <w:t>affiliation</w:t>
      </w:r>
      <w:proofErr w:type="spellEnd"/>
      <w:r>
        <w:rPr>
          <w:lang w:val="es-ES"/>
        </w:rPr>
        <w:t>) tras hacer clic en Añadir vinculación a programas/redes (</w:t>
      </w:r>
      <w:proofErr w:type="spellStart"/>
      <w:r>
        <w:rPr>
          <w:lang w:val="es-ES"/>
        </w:rPr>
        <w:t>Add</w:t>
      </w:r>
      <w:proofErr w:type="spellEnd"/>
      <w:r>
        <w:rPr>
          <w:lang w:val="es-ES"/>
        </w:rPr>
        <w:t xml:space="preserve"> </w:t>
      </w:r>
      <w:proofErr w:type="spellStart"/>
      <w:r>
        <w:rPr>
          <w:lang w:val="es-ES"/>
        </w:rPr>
        <w:t>programme</w:t>
      </w:r>
      <w:proofErr w:type="spellEnd"/>
      <w:r>
        <w:rPr>
          <w:lang w:val="es-ES"/>
        </w:rPr>
        <w:t>/</w:t>
      </w:r>
      <w:proofErr w:type="spellStart"/>
      <w:r>
        <w:rPr>
          <w:lang w:val="es-ES"/>
        </w:rPr>
        <w:t>network</w:t>
      </w:r>
      <w:proofErr w:type="spellEnd"/>
      <w:r>
        <w:rPr>
          <w:lang w:val="es-ES"/>
        </w:rPr>
        <w:t xml:space="preserve"> </w:t>
      </w:r>
      <w:proofErr w:type="spellStart"/>
      <w:r>
        <w:rPr>
          <w:lang w:val="es-ES"/>
        </w:rPr>
        <w:t>affiliation</w:t>
      </w:r>
      <w:proofErr w:type="spellEnd"/>
      <w:r>
        <w:rPr>
          <w:lang w:val="es-ES"/>
        </w:rPr>
        <w:t>). A continuación, puede añadir todas las variables objeto de medición en la sección Observaciones/mediciones (</w:t>
      </w:r>
      <w:proofErr w:type="spellStart"/>
      <w:r>
        <w:rPr>
          <w:lang w:val="es-ES"/>
        </w:rPr>
        <w:t>Observations</w:t>
      </w:r>
      <w:proofErr w:type="spellEnd"/>
      <w:r>
        <w:rPr>
          <w:lang w:val="es-ES"/>
        </w:rPr>
        <w:t>/</w:t>
      </w:r>
      <w:proofErr w:type="spellStart"/>
      <w:r>
        <w:rPr>
          <w:lang w:val="es-ES"/>
        </w:rPr>
        <w:t>measurements</w:t>
      </w:r>
      <w:proofErr w:type="spellEnd"/>
      <w:r>
        <w:rPr>
          <w:lang w:val="es-ES"/>
        </w:rPr>
        <w:t>) haciendo clic en Añadir programa de medición (</w:t>
      </w:r>
      <w:proofErr w:type="spellStart"/>
      <w:r>
        <w:rPr>
          <w:lang w:val="es-ES"/>
        </w:rPr>
        <w:t>Add</w:t>
      </w:r>
      <w:proofErr w:type="spellEnd"/>
      <w:r>
        <w:rPr>
          <w:lang w:val="es-ES"/>
        </w:rPr>
        <w:t xml:space="preserve"> </w:t>
      </w:r>
      <w:proofErr w:type="spellStart"/>
      <w:r>
        <w:rPr>
          <w:lang w:val="es-ES"/>
        </w:rPr>
        <w:t>measurement</w:t>
      </w:r>
      <w:proofErr w:type="spellEnd"/>
      <w:r>
        <w:rPr>
          <w:lang w:val="es-ES"/>
        </w:rPr>
        <w:t xml:space="preserve"> </w:t>
      </w:r>
      <w:proofErr w:type="spellStart"/>
      <w:r>
        <w:rPr>
          <w:lang w:val="es-ES"/>
        </w:rPr>
        <w:t>program</w:t>
      </w:r>
      <w:proofErr w:type="spellEnd"/>
      <w:r>
        <w:rPr>
          <w:lang w:val="es-ES"/>
        </w:rPr>
        <w:t>) (Figura 7.8). La función de búsqueda en árbol también puede utilizarse para encontrar variables. Tras seleccionar una variable que pueda contribuir a la GBON, es necesario vincularla también a la GBON seleccionando la entrada correspondiente en el árbol de vinculaciones.</w:t>
      </w:r>
    </w:p>
    <w:p w14:paraId="51D53C8A" w14:textId="77777777" w:rsidR="000D701F" w:rsidRPr="00E4666D" w:rsidRDefault="000D701F" w:rsidP="000D701F">
      <w:pPr>
        <w:spacing w:before="120" w:line="276" w:lineRule="auto"/>
        <w:ind w:left="360"/>
        <w:rPr>
          <w:rStyle w:val="normaltextrun"/>
          <w:color w:val="000000"/>
          <w:shd w:val="clear" w:color="auto" w:fill="FFFFFF"/>
          <w:lang w:val="es-ES"/>
        </w:rPr>
      </w:pPr>
    </w:p>
    <w:p w14:paraId="7C805A90" w14:textId="77777777" w:rsidR="000D701F" w:rsidRPr="003530E7" w:rsidRDefault="000D701F" w:rsidP="000D701F">
      <w:pPr>
        <w:keepNext/>
        <w:spacing w:before="120" w:line="276" w:lineRule="auto"/>
        <w:ind w:left="360"/>
      </w:pPr>
      <w:r w:rsidRPr="003530E7">
        <w:rPr>
          <w:noProof/>
        </w:rPr>
        <w:drawing>
          <wp:inline distT="0" distB="0" distL="0" distR="0" wp14:anchorId="6C387B32" wp14:editId="4DDB1637">
            <wp:extent cx="5760720" cy="1019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720" cy="1019175"/>
                    </a:xfrm>
                    <a:prstGeom prst="rect">
                      <a:avLst/>
                    </a:prstGeom>
                  </pic:spPr>
                </pic:pic>
              </a:graphicData>
            </a:graphic>
          </wp:inline>
        </w:drawing>
      </w:r>
    </w:p>
    <w:p w14:paraId="631F3DBF" w14:textId="31EB94E0" w:rsidR="000D701F" w:rsidRPr="00ED5163" w:rsidRDefault="000D701F" w:rsidP="008C2CFE">
      <w:pPr>
        <w:pStyle w:val="Caption"/>
        <w:spacing w:before="360" w:after="240" w:line="240" w:lineRule="auto"/>
        <w:jc w:val="center"/>
        <w:rPr>
          <w:rFonts w:ascii="Verdana" w:hAnsi="Verdana"/>
          <w:color w:val="auto"/>
          <w:sz w:val="20"/>
          <w:szCs w:val="20"/>
          <w:lang w:val="es-ES"/>
        </w:rPr>
      </w:pPr>
      <w:r w:rsidRPr="00ED5163">
        <w:rPr>
          <w:rFonts w:ascii="Verdana" w:hAnsi="Verdana"/>
          <w:color w:val="auto"/>
          <w:sz w:val="20"/>
          <w:szCs w:val="20"/>
          <w:lang w:val="es-ES"/>
        </w:rPr>
        <w:t xml:space="preserve">Figura 7.7: </w:t>
      </w:r>
      <w:r w:rsidR="00630917" w:rsidRPr="00ED5163">
        <w:rPr>
          <w:rFonts w:ascii="Verdana" w:hAnsi="Verdana"/>
          <w:color w:val="auto"/>
          <w:sz w:val="20"/>
          <w:szCs w:val="20"/>
          <w:lang w:val="es-ES"/>
        </w:rPr>
        <w:t>S</w:t>
      </w:r>
      <w:r w:rsidRPr="00ED5163">
        <w:rPr>
          <w:rFonts w:ascii="Verdana" w:hAnsi="Verdana"/>
          <w:color w:val="auto"/>
          <w:sz w:val="20"/>
          <w:szCs w:val="20"/>
          <w:lang w:val="es-ES"/>
        </w:rPr>
        <w:t>ección Vinculación a programas o redes (</w:t>
      </w:r>
      <w:proofErr w:type="spellStart"/>
      <w:r w:rsidRPr="00ED5163">
        <w:rPr>
          <w:rFonts w:ascii="Verdana" w:hAnsi="Verdana"/>
          <w:color w:val="auto"/>
          <w:sz w:val="20"/>
          <w:szCs w:val="20"/>
          <w:lang w:val="es-ES"/>
        </w:rPr>
        <w:t>Programme</w:t>
      </w:r>
      <w:proofErr w:type="spellEnd"/>
      <w:r w:rsidRPr="00ED5163">
        <w:rPr>
          <w:rFonts w:ascii="Verdana" w:hAnsi="Verdana"/>
          <w:color w:val="auto"/>
          <w:sz w:val="20"/>
          <w:szCs w:val="20"/>
          <w:lang w:val="es-ES"/>
        </w:rPr>
        <w:t>/</w:t>
      </w:r>
      <w:proofErr w:type="spellStart"/>
      <w:r w:rsidRPr="00ED5163">
        <w:rPr>
          <w:rFonts w:ascii="Verdana" w:hAnsi="Verdana"/>
          <w:color w:val="auto"/>
          <w:sz w:val="20"/>
          <w:szCs w:val="20"/>
          <w:lang w:val="es-ES"/>
        </w:rPr>
        <w:t>network</w:t>
      </w:r>
      <w:proofErr w:type="spellEnd"/>
      <w:r w:rsidR="008C2CFE">
        <w:rPr>
          <w:rFonts w:ascii="Verdana" w:hAnsi="Verdana"/>
          <w:color w:val="auto"/>
          <w:sz w:val="20"/>
          <w:szCs w:val="20"/>
          <w:lang w:val="es-ES"/>
        </w:rPr>
        <w:t> </w:t>
      </w:r>
      <w:proofErr w:type="spellStart"/>
      <w:r w:rsidRPr="00ED5163">
        <w:rPr>
          <w:rFonts w:ascii="Verdana" w:hAnsi="Verdana"/>
          <w:color w:val="auto"/>
          <w:sz w:val="20"/>
          <w:szCs w:val="20"/>
          <w:lang w:val="es-ES"/>
        </w:rPr>
        <w:t>affiliation</w:t>
      </w:r>
      <w:proofErr w:type="spellEnd"/>
      <w:r w:rsidRPr="00ED5163">
        <w:rPr>
          <w:rFonts w:ascii="Verdana" w:hAnsi="Verdana"/>
          <w:color w:val="auto"/>
          <w:sz w:val="20"/>
          <w:szCs w:val="20"/>
          <w:lang w:val="es-ES"/>
        </w:rPr>
        <w:t>) del formulario genérico</w:t>
      </w:r>
    </w:p>
    <w:p w14:paraId="4090B6E8" w14:textId="77777777" w:rsidR="000D701F" w:rsidRPr="00ED5163" w:rsidRDefault="000D701F" w:rsidP="000D701F">
      <w:pPr>
        <w:pStyle w:val="Caption"/>
        <w:rPr>
          <w:rFonts w:ascii="Verdana" w:hAnsi="Verdana"/>
          <w:lang w:val="es-ES"/>
        </w:rPr>
      </w:pPr>
    </w:p>
    <w:p w14:paraId="0AC5B90D" w14:textId="77777777" w:rsidR="000D701F" w:rsidRPr="003530E7" w:rsidRDefault="000D701F" w:rsidP="000D701F">
      <w:pPr>
        <w:pStyle w:val="Caption"/>
        <w:keepNext/>
        <w:rPr>
          <w:lang w:val="en-GB"/>
        </w:rPr>
      </w:pPr>
      <w:r w:rsidRPr="003530E7">
        <w:rPr>
          <w:noProof/>
          <w:lang w:val="en-GB"/>
        </w:rPr>
        <w:lastRenderedPageBreak/>
        <w:drawing>
          <wp:inline distT="0" distB="0" distL="0" distR="0" wp14:anchorId="68F008EE" wp14:editId="5B938134">
            <wp:extent cx="5760720" cy="27533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60720" cy="2753360"/>
                    </a:xfrm>
                    <a:prstGeom prst="rect">
                      <a:avLst/>
                    </a:prstGeom>
                  </pic:spPr>
                </pic:pic>
              </a:graphicData>
            </a:graphic>
          </wp:inline>
        </w:drawing>
      </w:r>
    </w:p>
    <w:p w14:paraId="5E58E83C" w14:textId="19B540D3" w:rsidR="000D701F" w:rsidRPr="00D516E9" w:rsidRDefault="000D701F" w:rsidP="008C2CFE">
      <w:pPr>
        <w:pStyle w:val="Caption"/>
        <w:spacing w:before="360" w:after="240" w:line="240" w:lineRule="auto"/>
        <w:jc w:val="center"/>
        <w:rPr>
          <w:rFonts w:ascii="Verdana" w:hAnsi="Verdana"/>
          <w:color w:val="auto"/>
          <w:sz w:val="20"/>
          <w:szCs w:val="20"/>
          <w:lang w:val="es-ES"/>
        </w:rPr>
      </w:pPr>
      <w:r w:rsidRPr="00D516E9">
        <w:rPr>
          <w:rFonts w:ascii="Verdana" w:hAnsi="Verdana"/>
          <w:color w:val="auto"/>
          <w:sz w:val="20"/>
          <w:szCs w:val="20"/>
          <w:lang w:val="es-ES"/>
        </w:rPr>
        <w:t xml:space="preserve">Figura 7.8: </w:t>
      </w:r>
      <w:r w:rsidR="00441DA9">
        <w:rPr>
          <w:rFonts w:ascii="Verdana" w:hAnsi="Verdana"/>
          <w:color w:val="auto"/>
          <w:sz w:val="20"/>
          <w:szCs w:val="20"/>
          <w:lang w:val="es-ES"/>
        </w:rPr>
        <w:t>V</w:t>
      </w:r>
      <w:r w:rsidRPr="00D516E9">
        <w:rPr>
          <w:rFonts w:ascii="Verdana" w:hAnsi="Verdana"/>
          <w:color w:val="auto"/>
          <w:sz w:val="20"/>
          <w:szCs w:val="20"/>
          <w:lang w:val="es-ES"/>
        </w:rPr>
        <w:t>entana Añadir programa de medición (</w:t>
      </w:r>
      <w:proofErr w:type="spellStart"/>
      <w:r w:rsidRPr="00D516E9">
        <w:rPr>
          <w:rFonts w:ascii="Verdana" w:hAnsi="Verdana"/>
          <w:color w:val="auto"/>
          <w:sz w:val="20"/>
          <w:szCs w:val="20"/>
          <w:lang w:val="es-ES"/>
        </w:rPr>
        <w:t>Add</w:t>
      </w:r>
      <w:proofErr w:type="spellEnd"/>
      <w:r w:rsidRPr="00D516E9">
        <w:rPr>
          <w:rFonts w:ascii="Verdana" w:hAnsi="Verdana"/>
          <w:color w:val="auto"/>
          <w:sz w:val="20"/>
          <w:szCs w:val="20"/>
          <w:lang w:val="es-ES"/>
        </w:rPr>
        <w:t xml:space="preserve"> </w:t>
      </w:r>
      <w:proofErr w:type="spellStart"/>
      <w:r w:rsidRPr="00D516E9">
        <w:rPr>
          <w:rFonts w:ascii="Verdana" w:hAnsi="Verdana"/>
          <w:color w:val="auto"/>
          <w:sz w:val="20"/>
          <w:szCs w:val="20"/>
          <w:lang w:val="es-ES"/>
        </w:rPr>
        <w:t>measurement</w:t>
      </w:r>
      <w:proofErr w:type="spellEnd"/>
      <w:r w:rsidRPr="00D516E9">
        <w:rPr>
          <w:rFonts w:ascii="Verdana" w:hAnsi="Verdana"/>
          <w:color w:val="auto"/>
          <w:sz w:val="20"/>
          <w:szCs w:val="20"/>
          <w:lang w:val="es-ES"/>
        </w:rPr>
        <w:t xml:space="preserve"> </w:t>
      </w:r>
      <w:proofErr w:type="spellStart"/>
      <w:r w:rsidRPr="00D516E9">
        <w:rPr>
          <w:rFonts w:ascii="Verdana" w:hAnsi="Verdana"/>
          <w:color w:val="auto"/>
          <w:sz w:val="20"/>
          <w:szCs w:val="20"/>
          <w:lang w:val="es-ES"/>
        </w:rPr>
        <w:t>program</w:t>
      </w:r>
      <w:proofErr w:type="spellEnd"/>
      <w:r w:rsidRPr="00D516E9">
        <w:rPr>
          <w:rFonts w:ascii="Verdana" w:hAnsi="Verdana"/>
          <w:color w:val="auto"/>
          <w:sz w:val="20"/>
          <w:szCs w:val="20"/>
          <w:lang w:val="es-ES"/>
        </w:rPr>
        <w:t>)</w:t>
      </w:r>
    </w:p>
    <w:p w14:paraId="13D22EB3" w14:textId="23F588A7" w:rsidR="000D701F" w:rsidRPr="008B5096" w:rsidRDefault="000D701F" w:rsidP="008C2CFE">
      <w:pPr>
        <w:pStyle w:val="Caption"/>
        <w:rPr>
          <w:rFonts w:ascii="Verdana" w:hAnsi="Verdana"/>
          <w:b w:val="0"/>
          <w:bCs w:val="0"/>
          <w:iCs/>
          <w:color w:val="auto"/>
          <w:sz w:val="20"/>
          <w:szCs w:val="20"/>
          <w:lang w:val="es-ES"/>
        </w:rPr>
      </w:pPr>
      <w:r w:rsidRPr="00ED5163">
        <w:rPr>
          <w:rFonts w:ascii="Verdana" w:hAnsi="Verdana"/>
          <w:b w:val="0"/>
          <w:bCs w:val="0"/>
          <w:iCs/>
          <w:color w:val="auto"/>
          <w:sz w:val="20"/>
          <w:szCs w:val="20"/>
          <w:lang w:val="es-ES"/>
        </w:rPr>
        <w:t xml:space="preserve">Después de añadir una variable, debe especificarse también la notificación de la medición. </w:t>
      </w:r>
      <w:r w:rsidRPr="00227334">
        <w:rPr>
          <w:rFonts w:ascii="Verdana" w:hAnsi="Verdana"/>
          <w:b w:val="0"/>
          <w:bCs w:val="0"/>
          <w:iCs/>
          <w:color w:val="auto"/>
          <w:sz w:val="20"/>
          <w:szCs w:val="20"/>
          <w:lang w:val="es-ES"/>
        </w:rPr>
        <w:t>Para ello, haga clic en Añadir generación de datos (</w:t>
      </w:r>
      <w:proofErr w:type="spellStart"/>
      <w:r w:rsidRPr="00227334">
        <w:rPr>
          <w:rFonts w:ascii="Verdana" w:hAnsi="Verdana"/>
          <w:b w:val="0"/>
          <w:bCs w:val="0"/>
          <w:iCs/>
          <w:color w:val="auto"/>
          <w:sz w:val="20"/>
          <w:szCs w:val="20"/>
          <w:lang w:val="es-ES"/>
        </w:rPr>
        <w:t>Add</w:t>
      </w:r>
      <w:proofErr w:type="spellEnd"/>
      <w:r w:rsidRPr="00227334">
        <w:rPr>
          <w:rFonts w:ascii="Verdana" w:hAnsi="Verdana"/>
          <w:b w:val="0"/>
          <w:bCs w:val="0"/>
          <w:iCs/>
          <w:color w:val="auto"/>
          <w:sz w:val="20"/>
          <w:szCs w:val="20"/>
          <w:lang w:val="es-ES"/>
        </w:rPr>
        <w:t xml:space="preserve"> data </w:t>
      </w:r>
      <w:proofErr w:type="spellStart"/>
      <w:r w:rsidRPr="00227334">
        <w:rPr>
          <w:rFonts w:ascii="Verdana" w:hAnsi="Verdana"/>
          <w:b w:val="0"/>
          <w:bCs w:val="0"/>
          <w:iCs/>
          <w:color w:val="auto"/>
          <w:sz w:val="20"/>
          <w:szCs w:val="20"/>
          <w:lang w:val="es-ES"/>
        </w:rPr>
        <w:t>generation</w:t>
      </w:r>
      <w:proofErr w:type="spellEnd"/>
      <w:r w:rsidRPr="00227334">
        <w:rPr>
          <w:rFonts w:ascii="Verdana" w:hAnsi="Verdana"/>
          <w:b w:val="0"/>
          <w:bCs w:val="0"/>
          <w:iCs/>
          <w:color w:val="auto"/>
          <w:sz w:val="20"/>
          <w:szCs w:val="20"/>
          <w:lang w:val="es-ES"/>
        </w:rPr>
        <w:t xml:space="preserve">) en el desplegable que </w:t>
      </w:r>
      <w:r w:rsidR="00227334" w:rsidRPr="00227334">
        <w:rPr>
          <w:rFonts w:ascii="Verdana" w:hAnsi="Verdana"/>
          <w:b w:val="0"/>
          <w:bCs w:val="0"/>
          <w:iCs/>
          <w:color w:val="auto"/>
          <w:sz w:val="20"/>
          <w:szCs w:val="20"/>
          <w:lang w:val="es-ES"/>
        </w:rPr>
        <w:t>a</w:t>
      </w:r>
      <w:r w:rsidR="00227334">
        <w:rPr>
          <w:rFonts w:ascii="Verdana" w:hAnsi="Verdana"/>
          <w:b w:val="0"/>
          <w:bCs w:val="0"/>
          <w:iCs/>
          <w:color w:val="auto"/>
          <w:sz w:val="20"/>
          <w:szCs w:val="20"/>
          <w:lang w:val="es-ES"/>
        </w:rPr>
        <w:t>parecerá</w:t>
      </w:r>
      <w:r w:rsidRPr="00227334">
        <w:rPr>
          <w:rFonts w:ascii="Verdana" w:hAnsi="Verdana"/>
          <w:b w:val="0"/>
          <w:bCs w:val="0"/>
          <w:iCs/>
          <w:color w:val="auto"/>
          <w:sz w:val="20"/>
          <w:szCs w:val="20"/>
          <w:lang w:val="es-ES"/>
        </w:rPr>
        <w:t xml:space="preserve">. </w:t>
      </w:r>
      <w:r w:rsidRPr="00ED5163">
        <w:rPr>
          <w:rFonts w:ascii="Verdana" w:hAnsi="Verdana"/>
          <w:b w:val="0"/>
          <w:bCs w:val="0"/>
          <w:iCs/>
          <w:color w:val="auto"/>
          <w:sz w:val="20"/>
          <w:szCs w:val="20"/>
          <w:lang w:val="es-ES"/>
        </w:rPr>
        <w:t xml:space="preserve">Se abrirá una ventana en la que podrá definir el calendario de notificación para esa medición concreta (Figura 7.9). </w:t>
      </w:r>
      <w:r w:rsidRPr="008B5096">
        <w:rPr>
          <w:rFonts w:ascii="Verdana" w:hAnsi="Verdana"/>
          <w:b w:val="0"/>
          <w:bCs w:val="0"/>
          <w:iCs/>
          <w:color w:val="auto"/>
          <w:sz w:val="20"/>
          <w:szCs w:val="20"/>
          <w:lang w:val="es-ES"/>
        </w:rPr>
        <w:t xml:space="preserve">Si se trata de una estación terrestre en superficie de la GBON, debe establecerse un intervalo de notificación de una hora, de acuerdo con los requisitos de la </w:t>
      </w:r>
      <w:r w:rsidR="008B5096" w:rsidRPr="008B5096">
        <w:rPr>
          <w:rFonts w:ascii="Verdana" w:hAnsi="Verdana"/>
          <w:b w:val="0"/>
          <w:bCs w:val="0"/>
          <w:iCs/>
          <w:color w:val="auto"/>
          <w:sz w:val="20"/>
          <w:szCs w:val="20"/>
          <w:lang w:val="es-ES"/>
        </w:rPr>
        <w:t>Re</w:t>
      </w:r>
      <w:r w:rsidR="008B5096">
        <w:rPr>
          <w:rFonts w:ascii="Verdana" w:hAnsi="Verdana"/>
          <w:b w:val="0"/>
          <w:bCs w:val="0"/>
          <w:iCs/>
          <w:color w:val="auto"/>
          <w:sz w:val="20"/>
          <w:szCs w:val="20"/>
          <w:lang w:val="es-ES"/>
        </w:rPr>
        <w:t>d</w:t>
      </w:r>
      <w:r w:rsidRPr="008B5096">
        <w:rPr>
          <w:rFonts w:ascii="Verdana" w:hAnsi="Verdana"/>
          <w:b w:val="0"/>
          <w:bCs w:val="0"/>
          <w:iCs/>
          <w:color w:val="auto"/>
          <w:sz w:val="20"/>
          <w:szCs w:val="20"/>
          <w:lang w:val="es-ES"/>
        </w:rPr>
        <w:t>.</w:t>
      </w:r>
    </w:p>
    <w:p w14:paraId="015647E5" w14:textId="77777777" w:rsidR="000D701F" w:rsidRPr="00E4666D" w:rsidRDefault="000D701F" w:rsidP="000D701F">
      <w:pPr>
        <w:pStyle w:val="Caption"/>
        <w:rPr>
          <w:rFonts w:ascii="Verdana" w:hAnsi="Verdana"/>
          <w:i/>
          <w:iCs/>
          <w:sz w:val="20"/>
          <w:szCs w:val="20"/>
          <w:lang w:val="es-ES"/>
        </w:rPr>
      </w:pPr>
    </w:p>
    <w:p w14:paraId="6610DEE0" w14:textId="77777777" w:rsidR="000D701F" w:rsidRPr="003530E7" w:rsidRDefault="000D701F" w:rsidP="000D701F">
      <w:pPr>
        <w:pStyle w:val="Caption"/>
        <w:keepNext/>
        <w:rPr>
          <w:lang w:val="en-GB"/>
        </w:rPr>
      </w:pPr>
      <w:r w:rsidRPr="003530E7">
        <w:rPr>
          <w:noProof/>
          <w:lang w:val="en-GB"/>
        </w:rPr>
        <w:drawing>
          <wp:inline distT="0" distB="0" distL="0" distR="0" wp14:anchorId="44D09390" wp14:editId="10B9D5D4">
            <wp:extent cx="5760720" cy="3333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60720" cy="3333750"/>
                    </a:xfrm>
                    <a:prstGeom prst="rect">
                      <a:avLst/>
                    </a:prstGeom>
                  </pic:spPr>
                </pic:pic>
              </a:graphicData>
            </a:graphic>
          </wp:inline>
        </w:drawing>
      </w:r>
    </w:p>
    <w:p w14:paraId="30432A8B" w14:textId="5DC4BFEA" w:rsidR="000D701F" w:rsidRPr="00B557E5" w:rsidRDefault="000D701F" w:rsidP="008C2CFE">
      <w:pPr>
        <w:pStyle w:val="Caption"/>
        <w:spacing w:before="360" w:after="240" w:line="240" w:lineRule="auto"/>
        <w:jc w:val="center"/>
        <w:rPr>
          <w:lang w:val="es-ES"/>
        </w:rPr>
      </w:pPr>
      <w:bookmarkStart w:id="64" w:name="_Hlk121991208"/>
      <w:r w:rsidRPr="00B557E5">
        <w:rPr>
          <w:rFonts w:ascii="Verdana" w:hAnsi="Verdana"/>
          <w:color w:val="auto"/>
          <w:sz w:val="20"/>
          <w:szCs w:val="20"/>
          <w:lang w:val="es-ES"/>
        </w:rPr>
        <w:t xml:space="preserve">Figura 7.9: </w:t>
      </w:r>
      <w:r w:rsidR="00441DA9">
        <w:rPr>
          <w:rFonts w:ascii="Verdana" w:hAnsi="Verdana"/>
          <w:color w:val="auto"/>
          <w:sz w:val="20"/>
          <w:szCs w:val="20"/>
          <w:lang w:val="es-ES"/>
        </w:rPr>
        <w:t>V</w:t>
      </w:r>
      <w:r w:rsidRPr="00B557E5">
        <w:rPr>
          <w:rFonts w:ascii="Verdana" w:hAnsi="Verdana"/>
          <w:color w:val="auto"/>
          <w:sz w:val="20"/>
          <w:szCs w:val="20"/>
          <w:lang w:val="es-ES"/>
        </w:rPr>
        <w:t>entana Añadir generación de datos (</w:t>
      </w:r>
      <w:proofErr w:type="spellStart"/>
      <w:r w:rsidRPr="00B557E5">
        <w:rPr>
          <w:rFonts w:ascii="Verdana" w:hAnsi="Verdana"/>
          <w:color w:val="auto"/>
          <w:sz w:val="20"/>
          <w:szCs w:val="20"/>
          <w:lang w:val="es-ES"/>
        </w:rPr>
        <w:t>Add</w:t>
      </w:r>
      <w:proofErr w:type="spellEnd"/>
      <w:r w:rsidRPr="00B557E5">
        <w:rPr>
          <w:rFonts w:ascii="Verdana" w:hAnsi="Verdana"/>
          <w:color w:val="auto"/>
          <w:sz w:val="20"/>
          <w:szCs w:val="20"/>
          <w:lang w:val="es-ES"/>
        </w:rPr>
        <w:t xml:space="preserve"> data </w:t>
      </w:r>
      <w:proofErr w:type="spellStart"/>
      <w:r w:rsidRPr="00B557E5">
        <w:rPr>
          <w:rFonts w:ascii="Verdana" w:hAnsi="Verdana"/>
          <w:color w:val="auto"/>
          <w:sz w:val="20"/>
          <w:szCs w:val="20"/>
          <w:lang w:val="es-ES"/>
        </w:rPr>
        <w:t>generation</w:t>
      </w:r>
      <w:proofErr w:type="spellEnd"/>
      <w:r w:rsidRPr="00B557E5">
        <w:rPr>
          <w:rFonts w:ascii="Verdana" w:hAnsi="Verdana"/>
          <w:color w:val="auto"/>
          <w:sz w:val="20"/>
          <w:szCs w:val="20"/>
          <w:lang w:val="es-ES"/>
        </w:rPr>
        <w:t>)</w:t>
      </w:r>
      <w:bookmarkEnd w:id="64"/>
    </w:p>
    <w:p w14:paraId="1BC3DC68" w14:textId="4EC53DB0" w:rsidR="00085791" w:rsidRPr="00E4666D" w:rsidRDefault="00085791">
      <w:pPr>
        <w:rPr>
          <w:rStyle w:val="normaltextrun"/>
          <w:rFonts w:eastAsia="Verdana" w:cs="Verdana"/>
          <w:b/>
          <w:bCs/>
          <w:lang w:val="es-ES"/>
        </w:rPr>
      </w:pPr>
    </w:p>
    <w:p w14:paraId="43EB4751" w14:textId="77777777" w:rsidR="000D701F" w:rsidRPr="00E4666D" w:rsidRDefault="000C471C" w:rsidP="008C2CFE">
      <w:pPr>
        <w:spacing w:after="240" w:line="240" w:lineRule="exact"/>
        <w:ind w:left="1134" w:hanging="1134"/>
        <w:rPr>
          <w:rStyle w:val="normaltextrun"/>
          <w:rFonts w:eastAsia="Verdana" w:cs="Verdana"/>
          <w:b/>
          <w:bCs/>
          <w:lang w:val="es-ES"/>
        </w:rPr>
      </w:pPr>
      <w:r>
        <w:rPr>
          <w:b/>
          <w:bCs/>
          <w:lang w:val="es-ES"/>
        </w:rPr>
        <w:t>7.3.2</w:t>
      </w:r>
      <w:r>
        <w:rPr>
          <w:lang w:val="es-ES"/>
        </w:rPr>
        <w:t xml:space="preserve"> </w:t>
      </w:r>
      <w:r>
        <w:rPr>
          <w:lang w:val="es-ES"/>
        </w:rPr>
        <w:tab/>
      </w:r>
      <w:r>
        <w:rPr>
          <w:b/>
          <w:bCs/>
          <w:lang w:val="es-ES"/>
        </w:rPr>
        <w:t>Cómo utilizar el formulario de plantilla de estación para crear una nueva estación terrestre en superficie de la GBON</w:t>
      </w:r>
    </w:p>
    <w:p w14:paraId="341BB77B" w14:textId="49759119" w:rsidR="00942EF8" w:rsidRPr="00E4666D" w:rsidRDefault="00942EF8" w:rsidP="008C2CFE">
      <w:pPr>
        <w:spacing w:after="240" w:line="240" w:lineRule="exact"/>
        <w:rPr>
          <w:lang w:val="es-ES"/>
        </w:rPr>
      </w:pPr>
      <w:r>
        <w:rPr>
          <w:lang w:val="es-ES"/>
        </w:rPr>
        <w:lastRenderedPageBreak/>
        <w:t xml:space="preserve">Para crear una nueva estación terrestre en superficie de la GBON, se puede utilizar la plantilla para estaciones terrestres en superficie de la GBON. En la lista de la consola de Gestión (Management) (Figura 7.10), seleccione la plantilla para estaciones terrestres en superficie de la GBON (GBON Surface </w:t>
      </w:r>
      <w:proofErr w:type="spellStart"/>
      <w:r>
        <w:rPr>
          <w:lang w:val="es-ES"/>
        </w:rPr>
        <w:t>Land</w:t>
      </w:r>
      <w:proofErr w:type="spellEnd"/>
      <w:r>
        <w:rPr>
          <w:lang w:val="es-ES"/>
        </w:rPr>
        <w:t xml:space="preserve"> </w:t>
      </w:r>
      <w:proofErr w:type="spellStart"/>
      <w:r>
        <w:rPr>
          <w:lang w:val="es-ES"/>
        </w:rPr>
        <w:t>Station</w:t>
      </w:r>
      <w:proofErr w:type="spellEnd"/>
      <w:r>
        <w:rPr>
          <w:lang w:val="es-ES"/>
        </w:rPr>
        <w:t>).</w:t>
      </w:r>
    </w:p>
    <w:p w14:paraId="265AC759" w14:textId="77777777" w:rsidR="00942EF8" w:rsidRPr="003530E7" w:rsidRDefault="00942EF8" w:rsidP="00D81780">
      <w:pPr>
        <w:rPr>
          <w:rFonts w:asciiTheme="majorBidi" w:hAnsiTheme="majorBidi"/>
          <w:sz w:val="24"/>
          <w:szCs w:val="24"/>
        </w:rPr>
      </w:pPr>
      <w:r w:rsidRPr="003530E7">
        <w:rPr>
          <w:rFonts w:asciiTheme="majorBidi" w:hAnsiTheme="majorBidi"/>
          <w:noProof/>
          <w:sz w:val="24"/>
          <w:szCs w:val="24"/>
        </w:rPr>
        <w:drawing>
          <wp:inline distT="0" distB="0" distL="0" distR="0" wp14:anchorId="444CE9AD" wp14:editId="55AD6C83">
            <wp:extent cx="5274310" cy="6428740"/>
            <wp:effectExtent l="0" t="0" r="2540" b="0"/>
            <wp:docPr id="33" name="图片 4"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表格&#10;&#10;描述已自动生成"/>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274310" cy="6428740"/>
                    </a:xfrm>
                    <a:prstGeom prst="rect">
                      <a:avLst/>
                    </a:prstGeom>
                  </pic:spPr>
                </pic:pic>
              </a:graphicData>
            </a:graphic>
          </wp:inline>
        </w:drawing>
      </w:r>
    </w:p>
    <w:p w14:paraId="039E56C3" w14:textId="36F6EE7F" w:rsidR="00942EF8" w:rsidRPr="00E4666D" w:rsidRDefault="00942EF8" w:rsidP="008C2CFE">
      <w:pPr>
        <w:spacing w:before="360" w:after="240" w:line="240" w:lineRule="exact"/>
        <w:jc w:val="center"/>
        <w:rPr>
          <w:rFonts w:eastAsia="Verdana" w:cs="Verdana"/>
          <w:b/>
          <w:bCs/>
          <w:iCs/>
          <w:color w:val="auto"/>
          <w:lang w:val="es-ES"/>
        </w:rPr>
      </w:pPr>
      <w:r>
        <w:rPr>
          <w:b/>
          <w:bCs/>
          <w:lang w:val="es-ES"/>
        </w:rPr>
        <w:t xml:space="preserve">Figura 7.10: Interfaz de la plantilla para estaciones terrestres en superficie </w:t>
      </w:r>
      <w:r w:rsidR="008C2CFE">
        <w:rPr>
          <w:b/>
          <w:bCs/>
          <w:lang w:val="es-ES"/>
        </w:rPr>
        <w:br/>
      </w:r>
      <w:r>
        <w:rPr>
          <w:b/>
          <w:bCs/>
          <w:lang w:val="es-ES"/>
        </w:rPr>
        <w:t xml:space="preserve">de la GBON (GBON Surface </w:t>
      </w:r>
      <w:proofErr w:type="spellStart"/>
      <w:r>
        <w:rPr>
          <w:b/>
          <w:bCs/>
          <w:lang w:val="es-ES"/>
        </w:rPr>
        <w:t>Land</w:t>
      </w:r>
      <w:proofErr w:type="spellEnd"/>
      <w:r>
        <w:rPr>
          <w:b/>
          <w:bCs/>
          <w:lang w:val="es-ES"/>
        </w:rPr>
        <w:t xml:space="preserve"> </w:t>
      </w:r>
      <w:proofErr w:type="spellStart"/>
      <w:r>
        <w:rPr>
          <w:b/>
          <w:bCs/>
          <w:lang w:val="es-ES"/>
        </w:rPr>
        <w:t>Station</w:t>
      </w:r>
      <w:proofErr w:type="spellEnd"/>
      <w:r>
        <w:rPr>
          <w:b/>
          <w:bCs/>
          <w:lang w:val="es-ES"/>
        </w:rPr>
        <w:t>)</w:t>
      </w:r>
    </w:p>
    <w:p w14:paraId="6C731782" w14:textId="5ED1CCB1" w:rsidR="00942EF8" w:rsidRPr="00E4666D" w:rsidRDefault="00942EF8" w:rsidP="008C2CFE">
      <w:pPr>
        <w:spacing w:after="240" w:line="240" w:lineRule="exact"/>
        <w:rPr>
          <w:lang w:val="es-ES"/>
        </w:rPr>
      </w:pPr>
      <w:r>
        <w:rPr>
          <w:lang w:val="es-ES"/>
        </w:rPr>
        <w:t xml:space="preserve">Al seleccionar esta plantilla (GBON Surface </w:t>
      </w:r>
      <w:proofErr w:type="spellStart"/>
      <w:r>
        <w:rPr>
          <w:lang w:val="es-ES"/>
        </w:rPr>
        <w:t>Land</w:t>
      </w:r>
      <w:proofErr w:type="spellEnd"/>
      <w:r>
        <w:rPr>
          <w:lang w:val="es-ES"/>
        </w:rPr>
        <w:t xml:space="preserve"> </w:t>
      </w:r>
      <w:proofErr w:type="spellStart"/>
      <w:r>
        <w:rPr>
          <w:lang w:val="es-ES"/>
        </w:rPr>
        <w:t>Station</w:t>
      </w:r>
      <w:proofErr w:type="spellEnd"/>
      <w:r>
        <w:rPr>
          <w:lang w:val="es-ES"/>
        </w:rPr>
        <w:t xml:space="preserve">), aparecerán en pantalla tres secciones (partes superior, central e inferior de la plantilla), cada una de las cuales contiene varios campos de entrada. En la parte superior se pide información básica obligatoria para crear una estación en </w:t>
      </w:r>
      <w:hyperlink r:id="rId99" w:history="1">
        <w:r w:rsidRPr="00005F5A">
          <w:rPr>
            <w:rStyle w:val="Hyperlink"/>
            <w:lang w:val="es-ES"/>
          </w:rPr>
          <w:t>OSCAR/Superficie</w:t>
        </w:r>
      </w:hyperlink>
      <w:r>
        <w:rPr>
          <w:lang w:val="es-ES"/>
        </w:rPr>
        <w:t>, como Nombre (de la estación) (</w:t>
      </w:r>
      <w:proofErr w:type="spellStart"/>
      <w:r>
        <w:rPr>
          <w:lang w:val="es-ES"/>
        </w:rPr>
        <w:t>Name</w:t>
      </w:r>
      <w:proofErr w:type="spellEnd"/>
      <w:r>
        <w:rPr>
          <w:lang w:val="es-ES"/>
        </w:rPr>
        <w:t xml:space="preserve">), Fecha de creación (Date </w:t>
      </w:r>
      <w:proofErr w:type="spellStart"/>
      <w:r>
        <w:rPr>
          <w:lang w:val="es-ES"/>
        </w:rPr>
        <w:t>established</w:t>
      </w:r>
      <w:proofErr w:type="spellEnd"/>
      <w:r>
        <w:rPr>
          <w:lang w:val="es-ES"/>
        </w:rPr>
        <w:t>), País/territorio (Country/</w:t>
      </w:r>
      <w:proofErr w:type="spellStart"/>
      <w:r>
        <w:rPr>
          <w:lang w:val="es-ES"/>
        </w:rPr>
        <w:t>territory</w:t>
      </w:r>
      <w:proofErr w:type="spellEnd"/>
      <w:r>
        <w:rPr>
          <w:lang w:val="es-ES"/>
        </w:rPr>
        <w:t>), Identificador de estación del WIGOS (WSI) y Coordenadas (geográficas) (</w:t>
      </w:r>
      <w:proofErr w:type="spellStart"/>
      <w:r>
        <w:rPr>
          <w:lang w:val="es-ES"/>
        </w:rPr>
        <w:t>Coordinates</w:t>
      </w:r>
      <w:proofErr w:type="spellEnd"/>
      <w:r>
        <w:rPr>
          <w:lang w:val="es-ES"/>
        </w:rPr>
        <w:t>).</w:t>
      </w:r>
    </w:p>
    <w:p w14:paraId="1659B790" w14:textId="252CE8C3" w:rsidR="00942EF8" w:rsidRPr="00E4666D" w:rsidRDefault="00942EF8" w:rsidP="008C2CFE">
      <w:pPr>
        <w:spacing w:after="240" w:line="240" w:lineRule="exact"/>
        <w:rPr>
          <w:lang w:val="es-ES"/>
        </w:rPr>
      </w:pPr>
      <w:r>
        <w:rPr>
          <w:lang w:val="es-ES"/>
        </w:rPr>
        <w:t xml:space="preserve">En la parte central se muestra la lista de todas las variables que deben medirse/observarse y notificarse desde una estación terrestre en superficie de la GBON, teniendo en cuenta que el </w:t>
      </w:r>
      <w:r>
        <w:rPr>
          <w:lang w:val="es-ES"/>
        </w:rPr>
        <w:lastRenderedPageBreak/>
        <w:t xml:space="preserve">espesor de nieve es una variable obligatoria condicional para las estaciones situadas en lugares donde cabe esperar nieve. Al hacer clic en el botón de menú situado junto a cada campo/variable, se puede seleccionar el método de observación correspondiente </w:t>
      </w:r>
      <w:r w:rsidR="00130806">
        <w:rPr>
          <w:lang w:val="es-ES"/>
        </w:rPr>
        <w:t>a</w:t>
      </w:r>
      <w:r>
        <w:rPr>
          <w:lang w:val="es-ES"/>
        </w:rPr>
        <w:t xml:space="preserve"> cada variable a partir de un árbol </w:t>
      </w:r>
      <w:proofErr w:type="spellStart"/>
      <w:r>
        <w:rPr>
          <w:lang w:val="es-ES"/>
        </w:rPr>
        <w:t>prefiltrado</w:t>
      </w:r>
      <w:proofErr w:type="spellEnd"/>
      <w:r>
        <w:rPr>
          <w:lang w:val="es-ES"/>
        </w:rPr>
        <w:t>.</w:t>
      </w:r>
    </w:p>
    <w:p w14:paraId="0AE3C0FE" w14:textId="238A9E66" w:rsidR="00942EF8" w:rsidRPr="00E4666D" w:rsidRDefault="00942EF8" w:rsidP="008C2CFE">
      <w:pPr>
        <w:spacing w:after="240" w:line="240" w:lineRule="exact"/>
        <w:rPr>
          <w:lang w:val="es-ES"/>
        </w:rPr>
      </w:pPr>
      <w:r>
        <w:rPr>
          <w:lang w:val="es-ES"/>
        </w:rPr>
        <w:t xml:space="preserve">En la parte inferior, se puede establecer el calendario de notificación utilizando la interfaz de calendario </w:t>
      </w:r>
      <w:r w:rsidR="004412F6">
        <w:rPr>
          <w:lang w:val="es-ES"/>
        </w:rPr>
        <w:t>de</w:t>
      </w:r>
      <w:r>
        <w:rPr>
          <w:lang w:val="es-ES"/>
        </w:rPr>
        <w:t xml:space="preserve"> la parte inferior de la plantilla. De acuerdo con los requisitos de la GBON, el intervalo de notificación de una estación terrestre en superficie de la GBON será de "Una hora" (</w:t>
      </w:r>
      <w:proofErr w:type="spellStart"/>
      <w:r>
        <w:rPr>
          <w:lang w:val="es-ES"/>
        </w:rPr>
        <w:t>Hourly</w:t>
      </w:r>
      <w:proofErr w:type="spellEnd"/>
      <w:r>
        <w:rPr>
          <w:lang w:val="es-ES"/>
        </w:rPr>
        <w:t xml:space="preserve">) y el período de notificación de "24 horas al día, 7 días a la semana, todo el año" (24/7, </w:t>
      </w:r>
      <w:proofErr w:type="spellStart"/>
      <w:r>
        <w:rPr>
          <w:lang w:val="es-ES"/>
        </w:rPr>
        <w:t>year</w:t>
      </w:r>
      <w:proofErr w:type="spellEnd"/>
      <w:r>
        <w:rPr>
          <w:lang w:val="es-ES"/>
        </w:rPr>
        <w:t xml:space="preserve"> </w:t>
      </w:r>
      <w:proofErr w:type="gramStart"/>
      <w:r>
        <w:rPr>
          <w:lang w:val="es-ES"/>
        </w:rPr>
        <w:t>round</w:t>
      </w:r>
      <w:proofErr w:type="gramEnd"/>
      <w:r>
        <w:rPr>
          <w:lang w:val="es-ES"/>
        </w:rPr>
        <w:t>).</w:t>
      </w:r>
    </w:p>
    <w:p w14:paraId="5E6F9428" w14:textId="07261278" w:rsidR="000C471C" w:rsidRPr="00E4666D" w:rsidRDefault="00722389" w:rsidP="008C2CFE">
      <w:pPr>
        <w:spacing w:after="240" w:line="240" w:lineRule="exact"/>
        <w:rPr>
          <w:lang w:val="es-ES"/>
        </w:rPr>
      </w:pPr>
      <w:r>
        <w:rPr>
          <w:lang w:val="es-ES"/>
        </w:rPr>
        <w:t>El formulario se confirma con el botón "Revisar y confirmar" (</w:t>
      </w:r>
      <w:proofErr w:type="spellStart"/>
      <w:r>
        <w:rPr>
          <w:lang w:val="es-ES"/>
        </w:rPr>
        <w:t>Review</w:t>
      </w:r>
      <w:proofErr w:type="spellEnd"/>
      <w:r>
        <w:rPr>
          <w:lang w:val="es-ES"/>
        </w:rPr>
        <w:t xml:space="preserve"> and </w:t>
      </w:r>
      <w:proofErr w:type="spellStart"/>
      <w:r>
        <w:rPr>
          <w:lang w:val="es-ES"/>
        </w:rPr>
        <w:t>confirm</w:t>
      </w:r>
      <w:proofErr w:type="spellEnd"/>
      <w:r>
        <w:rPr>
          <w:lang w:val="es-ES"/>
        </w:rPr>
        <w:t>). Al hacerlo, se mostrará el formulario genérico (</w:t>
      </w:r>
      <w:proofErr w:type="spellStart"/>
      <w:r>
        <w:rPr>
          <w:lang w:val="es-ES"/>
        </w:rPr>
        <w:t>Generic</w:t>
      </w:r>
      <w:proofErr w:type="spellEnd"/>
      <w:r>
        <w:rPr>
          <w:lang w:val="es-ES"/>
        </w:rPr>
        <w:t xml:space="preserve"> </w:t>
      </w:r>
      <w:proofErr w:type="spellStart"/>
      <w:r>
        <w:rPr>
          <w:lang w:val="es-ES"/>
        </w:rPr>
        <w:t>form</w:t>
      </w:r>
      <w:proofErr w:type="spellEnd"/>
      <w:r>
        <w:rPr>
          <w:lang w:val="es-ES"/>
        </w:rPr>
        <w:t>) con toda la información facilitada en el formulario de plantilla, así como otros campos obligatorios previamente cumplimentados de forma automática sobre la base de los requisitos de una estación terrestre en superficie de la GBON, como el "tipo de estación" (</w:t>
      </w:r>
      <w:proofErr w:type="spellStart"/>
      <w:r>
        <w:rPr>
          <w:lang w:val="es-ES"/>
        </w:rPr>
        <w:t>station</w:t>
      </w:r>
      <w:proofErr w:type="spellEnd"/>
      <w:r>
        <w:rPr>
          <w:lang w:val="es-ES"/>
        </w:rPr>
        <w:t xml:space="preserve"> </w:t>
      </w:r>
      <w:proofErr w:type="spellStart"/>
      <w:r>
        <w:rPr>
          <w:lang w:val="es-ES"/>
        </w:rPr>
        <w:t>type</w:t>
      </w:r>
      <w:proofErr w:type="spellEnd"/>
      <w:r>
        <w:rPr>
          <w:lang w:val="es-ES"/>
        </w:rPr>
        <w:t>), o la "vinculación a programas o redes" (</w:t>
      </w:r>
      <w:proofErr w:type="spellStart"/>
      <w:r>
        <w:rPr>
          <w:lang w:val="es-ES"/>
        </w:rPr>
        <w:t>programme</w:t>
      </w:r>
      <w:proofErr w:type="spellEnd"/>
      <w:r>
        <w:rPr>
          <w:lang w:val="es-ES"/>
        </w:rPr>
        <w:t>/</w:t>
      </w:r>
      <w:proofErr w:type="spellStart"/>
      <w:r>
        <w:rPr>
          <w:lang w:val="es-ES"/>
        </w:rPr>
        <w:t>network</w:t>
      </w:r>
      <w:proofErr w:type="spellEnd"/>
      <w:r>
        <w:rPr>
          <w:lang w:val="es-ES"/>
        </w:rPr>
        <w:t xml:space="preserve"> </w:t>
      </w:r>
      <w:proofErr w:type="spellStart"/>
      <w:r>
        <w:rPr>
          <w:lang w:val="es-ES"/>
        </w:rPr>
        <w:t>affiliation</w:t>
      </w:r>
      <w:proofErr w:type="spellEnd"/>
      <w:r>
        <w:rPr>
          <w:lang w:val="es-ES"/>
        </w:rPr>
        <w:t>). Es posible editar cualquiera de estos campos en el formulario genérico, así como volver a la plantilla haciendo clic en "Editar como plantilla" (</w:t>
      </w:r>
      <w:proofErr w:type="spellStart"/>
      <w:r>
        <w:rPr>
          <w:lang w:val="es-ES"/>
        </w:rPr>
        <w:t>Edit</w:t>
      </w:r>
      <w:proofErr w:type="spellEnd"/>
      <w:r>
        <w:rPr>
          <w:lang w:val="es-ES"/>
        </w:rPr>
        <w:t xml:space="preserve"> as </w:t>
      </w:r>
      <w:proofErr w:type="spellStart"/>
      <w:r>
        <w:rPr>
          <w:lang w:val="es-ES"/>
        </w:rPr>
        <w:t>template</w:t>
      </w:r>
      <w:proofErr w:type="spellEnd"/>
      <w:r>
        <w:rPr>
          <w:lang w:val="es-ES"/>
        </w:rPr>
        <w:t>). Sin embargo, cualquier información que se haya modificado en el formulario genérico se perderá al volver a la plantilla.</w:t>
      </w:r>
    </w:p>
    <w:p w14:paraId="7993B219" w14:textId="77777777" w:rsidR="000D701F" w:rsidRPr="00E4666D" w:rsidRDefault="000C471C" w:rsidP="00873F58">
      <w:pPr>
        <w:spacing w:after="240" w:line="240" w:lineRule="exact"/>
        <w:ind w:left="1134" w:hanging="1134"/>
        <w:jc w:val="both"/>
        <w:rPr>
          <w:rStyle w:val="normaltextrun"/>
          <w:rFonts w:eastAsia="Verdana" w:cs="Verdana"/>
          <w:b/>
          <w:bCs/>
          <w:lang w:val="es-ES"/>
        </w:rPr>
      </w:pPr>
      <w:r>
        <w:rPr>
          <w:b/>
          <w:bCs/>
          <w:lang w:val="es-ES"/>
        </w:rPr>
        <w:t>7.3.3</w:t>
      </w:r>
      <w:r>
        <w:rPr>
          <w:lang w:val="es-ES"/>
        </w:rPr>
        <w:tab/>
      </w:r>
      <w:r>
        <w:rPr>
          <w:b/>
          <w:bCs/>
          <w:lang w:val="es-ES"/>
        </w:rPr>
        <w:t>Cómo utilizar la herramienta web cliente de OSCAR/Superficie para crear una nueva estación de la GBON</w:t>
      </w:r>
    </w:p>
    <w:p w14:paraId="322454AE" w14:textId="422B73C5" w:rsidR="000C471C" w:rsidRPr="00E4666D" w:rsidRDefault="000D701F" w:rsidP="00873F58">
      <w:pPr>
        <w:spacing w:after="240" w:line="240" w:lineRule="exact"/>
        <w:rPr>
          <w:rStyle w:val="normaltextrun"/>
          <w:rFonts w:eastAsia="Verdana" w:cs="Verdana"/>
          <w:b/>
          <w:bCs/>
          <w:lang w:val="es-ES"/>
        </w:rPr>
      </w:pPr>
      <w:r>
        <w:rPr>
          <w:lang w:val="es-ES"/>
        </w:rPr>
        <w:t xml:space="preserve">La herramienta web cliente de </w:t>
      </w:r>
      <w:r w:rsidRPr="00ED5163">
        <w:rPr>
          <w:rStyle w:val="normaltextrun"/>
          <w:color w:val="606060"/>
          <w:shd w:val="clear" w:color="auto" w:fill="FFFFFF"/>
          <w:lang w:val="es-ES"/>
        </w:rPr>
        <w:t>OSCAR/Superficie</w:t>
      </w:r>
      <w:r>
        <w:rPr>
          <w:lang w:val="es-ES"/>
        </w:rPr>
        <w:t xml:space="preserve"> (OSCAR/Surface Web Client Tool: </w:t>
      </w:r>
      <w:hyperlink r:id="rId100" w:history="1">
        <w:r w:rsidR="007A2899" w:rsidRPr="00F5299B">
          <w:rPr>
            <w:rStyle w:val="Hyperlink"/>
            <w:lang w:val="es-ES"/>
          </w:rPr>
          <w:t>https://oscar.tools.wmo.int/web-client</w:t>
        </w:r>
      </w:hyperlink>
      <w:r>
        <w:rPr>
          <w:lang w:val="es-ES"/>
        </w:rPr>
        <w:t xml:space="preserve">) es una aplicación externa que permite realizar operaciones por lotes. Esto significa que los cambios de metadatos en </w:t>
      </w:r>
      <w:hyperlink r:id="rId101" w:history="1">
        <w:r w:rsidRPr="007A2899">
          <w:rPr>
            <w:rStyle w:val="Hyperlink"/>
            <w:lang w:val="es-ES"/>
          </w:rPr>
          <w:t>OSCAR/Superficie</w:t>
        </w:r>
      </w:hyperlink>
      <w:r>
        <w:rPr>
          <w:lang w:val="es-ES"/>
        </w:rPr>
        <w:t xml:space="preserve"> se pueden aplicar a varias estaciones a la vez, de forma que el usuario no t</w:t>
      </w:r>
      <w:r w:rsidR="00B87C3B">
        <w:rPr>
          <w:lang w:val="es-ES"/>
        </w:rPr>
        <w:t>endrá</w:t>
      </w:r>
      <w:r>
        <w:rPr>
          <w:lang w:val="es-ES"/>
        </w:rPr>
        <w:t xml:space="preserve"> que introducir manualmente la información de cada estación. La versión más reciente permite crear nuevas estaciones, cambiar los identificadores de estación del WIGOS, modificar los calendarios y vincular programas o redes, por </w:t>
      </w:r>
      <w:proofErr w:type="gramStart"/>
      <w:r>
        <w:rPr>
          <w:lang w:val="es-ES"/>
        </w:rPr>
        <w:t>ejemplo</w:t>
      </w:r>
      <w:proofErr w:type="gramEnd"/>
      <w:r>
        <w:rPr>
          <w:lang w:val="es-ES"/>
        </w:rPr>
        <w:t xml:space="preserve"> la GBON. Para más información sobre el uso de la herramienta web cliente, consulte el </w:t>
      </w:r>
      <w:hyperlink r:id="rId102" w:anchor=".Y2DnX3bMJPY" w:history="1">
        <w:r w:rsidRPr="007A2899">
          <w:rPr>
            <w:rStyle w:val="Hyperlink"/>
            <w:i/>
            <w:iCs/>
            <w:lang w:val="es-ES"/>
          </w:rPr>
          <w:t>Manual del usuario de OSCAR/Superficie</w:t>
        </w:r>
        <w:r w:rsidRPr="007A2899">
          <w:rPr>
            <w:rStyle w:val="Hyperlink"/>
            <w:lang w:val="es-ES"/>
          </w:rPr>
          <w:t>, sección 3.12</w:t>
        </w:r>
      </w:hyperlink>
      <w:r>
        <w:rPr>
          <w:lang w:val="es-ES"/>
        </w:rPr>
        <w:t xml:space="preserve">, el seminario web correspondiente del portal de aprendizaje de OSCAR/Superficie, disponible en </w:t>
      </w:r>
      <w:hyperlink r:id="rId103" w:history="1">
        <w:r w:rsidR="007A2899" w:rsidRPr="00F5299B">
          <w:rPr>
            <w:rStyle w:val="Hyperlink"/>
            <w:lang w:val="es-ES"/>
          </w:rPr>
          <w:t>https://etrp.wmo.int/mod/folder/view.php?id=15184</w:t>
        </w:r>
      </w:hyperlink>
      <w:r>
        <w:rPr>
          <w:lang w:val="es-ES"/>
        </w:rPr>
        <w:t xml:space="preserve">, y el </w:t>
      </w:r>
      <w:hyperlink r:id="rId104" w:history="1">
        <w:r w:rsidRPr="007A2899">
          <w:rPr>
            <w:rStyle w:val="Hyperlink"/>
            <w:lang w:val="es-ES"/>
          </w:rPr>
          <w:t>tutorial en vídeo</w:t>
        </w:r>
      </w:hyperlink>
      <w:r>
        <w:rPr>
          <w:lang w:val="es-ES"/>
        </w:rPr>
        <w:t>.</w:t>
      </w:r>
    </w:p>
    <w:p w14:paraId="36D16AC2" w14:textId="3A87AF4C" w:rsidR="000D701F" w:rsidRPr="00E4666D" w:rsidRDefault="000C471C" w:rsidP="00873F58">
      <w:pPr>
        <w:spacing w:after="240" w:line="240" w:lineRule="exact"/>
        <w:rPr>
          <w:rStyle w:val="normaltextrun"/>
          <w:rFonts w:eastAsia="Verdana" w:cs="Verdana"/>
          <w:b/>
          <w:bCs/>
          <w:lang w:val="es-ES"/>
        </w:rPr>
      </w:pPr>
      <w:r>
        <w:rPr>
          <w:b/>
          <w:bCs/>
          <w:lang w:val="es-ES"/>
        </w:rPr>
        <w:t>7.3.4</w:t>
      </w:r>
      <w:r>
        <w:rPr>
          <w:lang w:val="es-ES"/>
        </w:rPr>
        <w:tab/>
      </w:r>
      <w:r>
        <w:rPr>
          <w:b/>
          <w:bCs/>
          <w:lang w:val="es-ES"/>
        </w:rPr>
        <w:t>Cómo utilizar la carga de XML para crear una nueva estación de la GBON</w:t>
      </w:r>
    </w:p>
    <w:p w14:paraId="1AF95C43" w14:textId="253ABE75" w:rsidR="000D701F" w:rsidRPr="00E4666D" w:rsidRDefault="000D701F" w:rsidP="00873F58">
      <w:pPr>
        <w:spacing w:after="240" w:line="240" w:lineRule="exact"/>
        <w:rPr>
          <w:rStyle w:val="normaltextrun"/>
          <w:rFonts w:eastAsia="Verdana" w:cs="Verdana"/>
          <w:lang w:val="es-ES"/>
        </w:rPr>
      </w:pPr>
      <w:r>
        <w:rPr>
          <w:lang w:val="es-ES"/>
        </w:rPr>
        <w:t xml:space="preserve">En lugar de utilizar la interfaz gráfica de usuario (GUI) de </w:t>
      </w:r>
      <w:hyperlink r:id="rId105" w:history="1">
        <w:r w:rsidRPr="00A36B25">
          <w:rPr>
            <w:rStyle w:val="Hyperlink"/>
            <w:lang w:val="es-ES"/>
          </w:rPr>
          <w:t>OSCAR/Superficie</w:t>
        </w:r>
      </w:hyperlink>
      <w:r>
        <w:rPr>
          <w:lang w:val="es-ES"/>
        </w:rPr>
        <w:t xml:space="preserve"> para crear una estación de la GBON, también se puede recurrir a la representación WMDR XML de la estación (archivo WMDR XML). Los coordinadores nacionales de OSCAR/Superficie pueden cargar el archivo WMDR XML de una estación a través de la opción de envío de XML (XML </w:t>
      </w:r>
      <w:proofErr w:type="spellStart"/>
      <w:r>
        <w:rPr>
          <w:lang w:val="es-ES"/>
        </w:rPr>
        <w:t>submission</w:t>
      </w:r>
      <w:proofErr w:type="spellEnd"/>
      <w:r>
        <w:rPr>
          <w:lang w:val="es-ES"/>
        </w:rPr>
        <w:t xml:space="preserve">) en la pestaña de Gestión (Management) de </w:t>
      </w:r>
      <w:hyperlink r:id="rId106" w:history="1">
        <w:r w:rsidRPr="00A36B25">
          <w:rPr>
            <w:rStyle w:val="Hyperlink"/>
            <w:lang w:val="es-ES"/>
          </w:rPr>
          <w:t>OSCAR/Superficie</w:t>
        </w:r>
      </w:hyperlink>
      <w:r>
        <w:rPr>
          <w:lang w:val="es-ES"/>
        </w:rPr>
        <w:t xml:space="preserve"> o de la API REST de carga WMDR XML. (Véase la sección 3.10 del </w:t>
      </w:r>
      <w:hyperlink r:id="rId107" w:anchor=".Y2DnX3bMJPY" w:history="1">
        <w:r w:rsidRPr="00A36B25">
          <w:rPr>
            <w:rStyle w:val="Hyperlink"/>
            <w:i/>
            <w:iCs/>
            <w:lang w:val="es-ES"/>
          </w:rPr>
          <w:t>Manual del usuario de OSCAR/Superficie</w:t>
        </w:r>
      </w:hyperlink>
      <w:r>
        <w:rPr>
          <w:lang w:val="es-ES"/>
        </w:rPr>
        <w:t>).</w:t>
      </w:r>
    </w:p>
    <w:p w14:paraId="6B552A43" w14:textId="77777777" w:rsidR="000D701F" w:rsidRPr="00E4666D" w:rsidRDefault="000C471C" w:rsidP="00873F58">
      <w:pPr>
        <w:spacing w:before="480" w:after="200" w:line="276" w:lineRule="auto"/>
        <w:outlineLvl w:val="2"/>
        <w:rPr>
          <w:rStyle w:val="normaltextrun"/>
          <w:rFonts w:eastAsia="Verdana" w:cs="Verdana"/>
          <w:b/>
          <w:bCs/>
          <w:lang w:val="es-ES"/>
        </w:rPr>
      </w:pPr>
      <w:r>
        <w:rPr>
          <w:b/>
          <w:bCs/>
          <w:lang w:val="es-ES"/>
        </w:rPr>
        <w:t>7.4</w:t>
      </w:r>
      <w:r>
        <w:rPr>
          <w:lang w:val="es-ES"/>
        </w:rPr>
        <w:tab/>
      </w:r>
      <w:r>
        <w:rPr>
          <w:b/>
          <w:bCs/>
          <w:lang w:val="es-ES"/>
        </w:rPr>
        <w:t>Editar los metadatos de una estación de la GBON creada</w:t>
      </w:r>
    </w:p>
    <w:p w14:paraId="3D4347D2" w14:textId="042FF7B4" w:rsidR="000D701F" w:rsidRPr="00E4666D" w:rsidRDefault="000D701F" w:rsidP="00873F58">
      <w:pPr>
        <w:spacing w:after="240" w:line="240" w:lineRule="exact"/>
        <w:rPr>
          <w:rStyle w:val="normaltextrun"/>
          <w:rFonts w:eastAsia="Verdana" w:cs="Verdana"/>
          <w:lang w:val="es-ES"/>
        </w:rPr>
      </w:pPr>
      <w:r>
        <w:rPr>
          <w:lang w:val="es-ES"/>
        </w:rPr>
        <w:t xml:space="preserve">Para editar una estación de la GBON ya creada en </w:t>
      </w:r>
      <w:hyperlink r:id="rId108" w:history="1">
        <w:r w:rsidRPr="00A36B25">
          <w:rPr>
            <w:rStyle w:val="Hyperlink"/>
            <w:lang w:val="es-ES"/>
          </w:rPr>
          <w:t>OSCAR/Superficie</w:t>
        </w:r>
      </w:hyperlink>
      <w:r>
        <w:rPr>
          <w:lang w:val="es-ES"/>
        </w:rPr>
        <w:t xml:space="preserve">, se pueden utilizar las mismas herramientas que para crear una nueva estación. En la interfaz gráfica de </w:t>
      </w:r>
      <w:hyperlink r:id="rId109" w:history="1">
        <w:r w:rsidRPr="00A36B25">
          <w:rPr>
            <w:rStyle w:val="Hyperlink"/>
            <w:lang w:val="es-ES"/>
          </w:rPr>
          <w:t>OSCAR/Superficie</w:t>
        </w:r>
      </w:hyperlink>
      <w:r>
        <w:rPr>
          <w:lang w:val="es-ES"/>
        </w:rPr>
        <w:t xml:space="preserve"> aparece la opción "editar" (</w:t>
      </w:r>
      <w:proofErr w:type="spellStart"/>
      <w:r>
        <w:rPr>
          <w:lang w:val="es-ES"/>
        </w:rPr>
        <w:t>edit</w:t>
      </w:r>
      <w:proofErr w:type="spellEnd"/>
      <w:r>
        <w:rPr>
          <w:lang w:val="es-ES"/>
        </w:rPr>
        <w:t>) en la esquina superior derecha de cada informe de estación mientras se está conectado. Al hacer clic</w:t>
      </w:r>
      <w:r w:rsidR="00D2322B">
        <w:rPr>
          <w:lang w:val="es-ES"/>
        </w:rPr>
        <w:t>,</w:t>
      </w:r>
      <w:r>
        <w:rPr>
          <w:lang w:val="es-ES"/>
        </w:rPr>
        <w:t xml:space="preserve"> aparece el formulario genérico de estación, que contiene toda la información de la estación y que puede editarse y guardarse de nuevo. Una estación, la vinculación a un programa o red, un programa de medición o un despliegue pueden cerrarse configurando una fecha de finalización, en caso necesario. Esto asegurará que los cambios efectuados en una estación queden guardados en los datos históricos. Para más información sobre cómo editar información, puede consultar la sección 3.7 del </w:t>
      </w:r>
      <w:hyperlink r:id="rId110" w:anchor=".Y2DnX3bMJPY" w:history="1">
        <w:r w:rsidRPr="00A36B25">
          <w:rPr>
            <w:rStyle w:val="Hyperlink"/>
            <w:i/>
            <w:iCs/>
            <w:lang w:val="es-ES"/>
          </w:rPr>
          <w:t>Manual del usuario de OSCAR/Superficie</w:t>
        </w:r>
      </w:hyperlink>
      <w:r>
        <w:rPr>
          <w:lang w:val="es-ES"/>
        </w:rPr>
        <w:t>. Para utilizar la herramienta web cliente o cargar</w:t>
      </w:r>
      <w:r w:rsidR="0080682C">
        <w:rPr>
          <w:lang w:val="es-ES"/>
        </w:rPr>
        <w:t> </w:t>
      </w:r>
      <w:r>
        <w:rPr>
          <w:lang w:val="es-ES"/>
        </w:rPr>
        <w:t>XML con el fin de editar información de la estación, se remite al mismo material didáctico y de orientación mencionado en las secciones 7.3.3 y 7.3.4.</w:t>
      </w:r>
    </w:p>
    <w:p w14:paraId="59272A50" w14:textId="77777777" w:rsidR="000D701F" w:rsidRPr="00E4666D" w:rsidRDefault="000C471C" w:rsidP="00873F58">
      <w:pPr>
        <w:keepNext/>
        <w:spacing w:before="480" w:after="200" w:line="276" w:lineRule="auto"/>
        <w:jc w:val="both"/>
        <w:outlineLvl w:val="2"/>
        <w:rPr>
          <w:rStyle w:val="normaltextrun"/>
          <w:rFonts w:eastAsia="Verdana" w:cs="Verdana"/>
          <w:b/>
          <w:bCs/>
          <w:lang w:val="es-ES"/>
        </w:rPr>
      </w:pPr>
      <w:r>
        <w:rPr>
          <w:b/>
          <w:bCs/>
          <w:lang w:val="es-ES"/>
        </w:rPr>
        <w:lastRenderedPageBreak/>
        <w:t>7.5</w:t>
      </w:r>
      <w:r>
        <w:rPr>
          <w:lang w:val="es-ES"/>
        </w:rPr>
        <w:tab/>
      </w:r>
      <w:r>
        <w:rPr>
          <w:b/>
          <w:bCs/>
          <w:lang w:val="es-ES"/>
        </w:rPr>
        <w:t>Vincular estaciones de la GBON a programas o redes</w:t>
      </w:r>
    </w:p>
    <w:p w14:paraId="4E8F35E6" w14:textId="74E7025B" w:rsidR="000D701F" w:rsidRPr="00E4666D" w:rsidRDefault="000C471C" w:rsidP="00873F58">
      <w:pPr>
        <w:keepNext/>
        <w:tabs>
          <w:tab w:val="left" w:pos="1134"/>
        </w:tabs>
        <w:spacing w:after="240" w:line="240" w:lineRule="exact"/>
        <w:jc w:val="both"/>
        <w:rPr>
          <w:rStyle w:val="normaltextrun"/>
          <w:rFonts w:eastAsia="Verdana" w:cs="Verdana"/>
          <w:b/>
          <w:bCs/>
          <w:lang w:val="es-ES"/>
        </w:rPr>
      </w:pPr>
      <w:r>
        <w:rPr>
          <w:b/>
          <w:bCs/>
          <w:lang w:val="es-ES"/>
        </w:rPr>
        <w:t>7.5.1</w:t>
      </w:r>
      <w:r>
        <w:rPr>
          <w:lang w:val="es-ES"/>
        </w:rPr>
        <w:tab/>
      </w:r>
      <w:r>
        <w:rPr>
          <w:b/>
          <w:bCs/>
          <w:lang w:val="es-ES"/>
        </w:rPr>
        <w:t>Cómo vincular una estación pendiente de aprobación</w:t>
      </w:r>
      <w:r w:rsidR="00506457">
        <w:rPr>
          <w:b/>
          <w:bCs/>
          <w:lang w:val="es-ES"/>
        </w:rPr>
        <w:t xml:space="preserve"> a la GBON</w:t>
      </w:r>
    </w:p>
    <w:p w14:paraId="6713958A" w14:textId="1822B027" w:rsidR="000D701F" w:rsidRPr="00E4666D" w:rsidRDefault="000D701F" w:rsidP="00873F58">
      <w:pPr>
        <w:spacing w:after="240" w:line="240" w:lineRule="exact"/>
        <w:rPr>
          <w:rStyle w:val="normaltextrun"/>
          <w:rFonts w:eastAsia="Verdana" w:cs="Verdana"/>
          <w:lang w:val="es-ES"/>
        </w:rPr>
      </w:pPr>
      <w:r>
        <w:rPr>
          <w:lang w:val="es-ES"/>
        </w:rPr>
        <w:t xml:space="preserve">Para vincular una estación ya creada en </w:t>
      </w:r>
      <w:hyperlink r:id="rId111" w:history="1">
        <w:r w:rsidRPr="00AB4CBA">
          <w:rPr>
            <w:rStyle w:val="Hyperlink"/>
            <w:lang w:val="es-ES"/>
          </w:rPr>
          <w:t>OSCAR/Superficie</w:t>
        </w:r>
      </w:hyperlink>
      <w:r>
        <w:rPr>
          <w:lang w:val="es-ES"/>
        </w:rPr>
        <w:t xml:space="preserve"> a la red GBON, deberá utilizar la sección Vinculación a programas o redes (</w:t>
      </w:r>
      <w:proofErr w:type="spellStart"/>
      <w:r>
        <w:rPr>
          <w:lang w:val="es-ES"/>
        </w:rPr>
        <w:t>Program</w:t>
      </w:r>
      <w:proofErr w:type="spellEnd"/>
      <w:r>
        <w:rPr>
          <w:lang w:val="es-ES"/>
        </w:rPr>
        <w:t>/</w:t>
      </w:r>
      <w:proofErr w:type="spellStart"/>
      <w:r>
        <w:rPr>
          <w:lang w:val="es-ES"/>
        </w:rPr>
        <w:t>networks</w:t>
      </w:r>
      <w:proofErr w:type="spellEnd"/>
      <w:r>
        <w:rPr>
          <w:lang w:val="es-ES"/>
        </w:rPr>
        <w:t xml:space="preserve"> </w:t>
      </w:r>
      <w:proofErr w:type="spellStart"/>
      <w:r>
        <w:rPr>
          <w:lang w:val="es-ES"/>
        </w:rPr>
        <w:t>affiliations</w:t>
      </w:r>
      <w:proofErr w:type="spellEnd"/>
      <w:r>
        <w:rPr>
          <w:lang w:val="es-ES"/>
        </w:rPr>
        <w:t>) del informe de estación. En el modo de edición o al crear una nueva estación, se puede asignar un nuevo programa o red o editar uno existente. Véase también la sección 7.3.1 al respecto. Una vez vinculada una estación a la red GBON, aparecerá como pendiente de aprobación hasta que se apruebe la solicitud, como se indica en la sección 3.</w:t>
      </w:r>
    </w:p>
    <w:p w14:paraId="755CB8EE" w14:textId="0E92FE54" w:rsidR="000D701F" w:rsidRPr="00E4666D" w:rsidRDefault="000D701F" w:rsidP="00873F58">
      <w:pPr>
        <w:spacing w:after="240" w:line="240" w:lineRule="exact"/>
        <w:rPr>
          <w:rStyle w:val="normaltextrun"/>
          <w:rFonts w:eastAsia="Verdana" w:cs="Verdana"/>
          <w:lang w:val="es-ES"/>
        </w:rPr>
      </w:pPr>
      <w:r>
        <w:rPr>
          <w:lang w:val="es-ES"/>
        </w:rPr>
        <w:t>Para vincular una estación a la GBON se puede utilizar, además de este método, la herramienta web cliente y la carga de XML.</w:t>
      </w:r>
    </w:p>
    <w:p w14:paraId="012F6E96" w14:textId="77777777" w:rsidR="000D701F" w:rsidRPr="00E4666D" w:rsidRDefault="000C471C" w:rsidP="00BD3815">
      <w:pPr>
        <w:keepNext/>
        <w:keepLines/>
        <w:spacing w:after="240" w:line="240" w:lineRule="exact"/>
        <w:jc w:val="both"/>
        <w:rPr>
          <w:rStyle w:val="normaltextrun"/>
          <w:rFonts w:eastAsia="Verdana" w:cs="Verdana"/>
          <w:b/>
          <w:bCs/>
          <w:lang w:val="es-ES"/>
        </w:rPr>
      </w:pPr>
      <w:r>
        <w:rPr>
          <w:b/>
          <w:bCs/>
          <w:lang w:val="es-ES"/>
        </w:rPr>
        <w:t>7.5.2</w:t>
      </w:r>
      <w:r>
        <w:rPr>
          <w:lang w:val="es-ES"/>
        </w:rPr>
        <w:tab/>
      </w:r>
      <w:r>
        <w:rPr>
          <w:b/>
          <w:bCs/>
          <w:lang w:val="es-ES"/>
        </w:rPr>
        <w:t>Cómo desvincular una estación de la red GBON</w:t>
      </w:r>
    </w:p>
    <w:p w14:paraId="13B2282B" w14:textId="77777777" w:rsidR="006E3900" w:rsidRPr="00E4666D" w:rsidRDefault="006E3900" w:rsidP="00BD3815">
      <w:pPr>
        <w:pStyle w:val="Bodytext"/>
        <w:keepNext/>
        <w:keepLines/>
        <w:jc w:val="both"/>
        <w:rPr>
          <w:b/>
          <w:bCs/>
          <w:i/>
          <w:iCs/>
          <w:lang w:val="es-ES"/>
        </w:rPr>
      </w:pPr>
      <w:r>
        <w:rPr>
          <w:b/>
          <w:bCs/>
          <w:i/>
          <w:iCs/>
          <w:lang w:val="es-ES"/>
        </w:rPr>
        <w:t>7.5.2.1</w:t>
      </w:r>
      <w:r>
        <w:rPr>
          <w:lang w:val="es-ES"/>
        </w:rPr>
        <w:tab/>
      </w:r>
      <w:r>
        <w:rPr>
          <w:b/>
          <w:bCs/>
          <w:i/>
          <w:iCs/>
          <w:lang w:val="es-ES"/>
        </w:rPr>
        <w:t>Eliminar una estación pendiente de aprobación</w:t>
      </w:r>
    </w:p>
    <w:p w14:paraId="34BBAB87" w14:textId="69A00280" w:rsidR="000D701F" w:rsidRPr="00E4666D" w:rsidRDefault="00D40675" w:rsidP="00873F58">
      <w:pPr>
        <w:keepNext/>
        <w:keepLines/>
        <w:spacing w:after="240" w:line="240" w:lineRule="exact"/>
        <w:rPr>
          <w:rStyle w:val="normaltextrun"/>
          <w:rFonts w:eastAsia="Verdana" w:cs="Verdana"/>
          <w:lang w:val="es-ES"/>
        </w:rPr>
      </w:pPr>
      <w:r>
        <w:rPr>
          <w:lang w:val="es-ES"/>
        </w:rPr>
        <w:t>Se puede eliminar una estación vinculada a la GBON en estado pendiente de aprobación mediante el botón "Eliminar" (</w:t>
      </w:r>
      <w:proofErr w:type="spellStart"/>
      <w:r>
        <w:rPr>
          <w:lang w:val="es-ES"/>
        </w:rPr>
        <w:t>Delete</w:t>
      </w:r>
      <w:proofErr w:type="spellEnd"/>
      <w:r>
        <w:rPr>
          <w:lang w:val="es-ES"/>
        </w:rPr>
        <w:t>) que aparece en la línea correspondiente debajo de "Acciones" (</w:t>
      </w:r>
      <w:proofErr w:type="spellStart"/>
      <w:r>
        <w:rPr>
          <w:lang w:val="es-ES"/>
        </w:rPr>
        <w:t>Actions</w:t>
      </w:r>
      <w:proofErr w:type="spellEnd"/>
      <w:r>
        <w:rPr>
          <w:lang w:val="es-ES"/>
        </w:rPr>
        <w:t>) en la sección Vinculación a programas o redes (</w:t>
      </w:r>
      <w:proofErr w:type="spellStart"/>
      <w:r>
        <w:rPr>
          <w:lang w:val="es-ES"/>
        </w:rPr>
        <w:t>Programme</w:t>
      </w:r>
      <w:proofErr w:type="spellEnd"/>
      <w:r>
        <w:rPr>
          <w:lang w:val="es-ES"/>
        </w:rPr>
        <w:t>/</w:t>
      </w:r>
      <w:proofErr w:type="spellStart"/>
      <w:r>
        <w:rPr>
          <w:lang w:val="es-ES"/>
        </w:rPr>
        <w:t>network</w:t>
      </w:r>
      <w:proofErr w:type="spellEnd"/>
      <w:r>
        <w:rPr>
          <w:lang w:val="es-ES"/>
        </w:rPr>
        <w:t xml:space="preserve"> </w:t>
      </w:r>
      <w:proofErr w:type="spellStart"/>
      <w:r>
        <w:rPr>
          <w:lang w:val="es-ES"/>
        </w:rPr>
        <w:t>affiliation</w:t>
      </w:r>
      <w:proofErr w:type="spellEnd"/>
      <w:r>
        <w:rPr>
          <w:lang w:val="es-ES"/>
        </w:rPr>
        <w:t>). También se puede eliminar solo una variable mediante el botón "Eliminar" (</w:t>
      </w:r>
      <w:proofErr w:type="spellStart"/>
      <w:r>
        <w:rPr>
          <w:lang w:val="es-ES"/>
        </w:rPr>
        <w:t>Delete</w:t>
      </w:r>
      <w:proofErr w:type="spellEnd"/>
      <w:r>
        <w:rPr>
          <w:lang w:val="es-ES"/>
        </w:rPr>
        <w:t>) que aparece en la línea correspondiente de la sección Observaciones/mediciones (</w:t>
      </w:r>
      <w:proofErr w:type="spellStart"/>
      <w:r>
        <w:rPr>
          <w:lang w:val="es-ES"/>
        </w:rPr>
        <w:t>Observations</w:t>
      </w:r>
      <w:proofErr w:type="spellEnd"/>
      <w:r>
        <w:rPr>
          <w:lang w:val="es-ES"/>
        </w:rPr>
        <w:t>/</w:t>
      </w:r>
      <w:proofErr w:type="spellStart"/>
      <w:r>
        <w:rPr>
          <w:lang w:val="es-ES"/>
        </w:rPr>
        <w:t>measurements</w:t>
      </w:r>
      <w:proofErr w:type="spellEnd"/>
      <w:r>
        <w:rPr>
          <w:lang w:val="es-ES"/>
        </w:rPr>
        <w:t>).</w:t>
      </w:r>
    </w:p>
    <w:p w14:paraId="1EB017F9" w14:textId="77777777" w:rsidR="000D701F" w:rsidRPr="00E4666D" w:rsidRDefault="000C471C" w:rsidP="00BD3815">
      <w:pPr>
        <w:tabs>
          <w:tab w:val="left" w:pos="1134"/>
        </w:tabs>
        <w:spacing w:after="240" w:line="240" w:lineRule="exact"/>
        <w:jc w:val="both"/>
        <w:rPr>
          <w:rStyle w:val="normaltextrun"/>
          <w:rFonts w:eastAsia="Verdana" w:cs="Verdana"/>
          <w:b/>
          <w:bCs/>
          <w:i/>
          <w:iCs/>
          <w:lang w:val="es-ES"/>
        </w:rPr>
      </w:pPr>
      <w:r>
        <w:rPr>
          <w:b/>
          <w:bCs/>
          <w:i/>
          <w:iCs/>
          <w:lang w:val="es-ES"/>
        </w:rPr>
        <w:t>7.5.2.2</w:t>
      </w:r>
      <w:r>
        <w:rPr>
          <w:lang w:val="es-ES"/>
        </w:rPr>
        <w:tab/>
      </w:r>
      <w:r>
        <w:rPr>
          <w:b/>
          <w:bCs/>
          <w:i/>
          <w:iCs/>
          <w:lang w:val="es-ES"/>
        </w:rPr>
        <w:t>Eliminar una vinculación a la GBON aprobada</w:t>
      </w:r>
    </w:p>
    <w:p w14:paraId="649476F2" w14:textId="56BC4FD6" w:rsidR="000D701F" w:rsidRPr="00E4666D" w:rsidRDefault="00E30D1F" w:rsidP="00873F58">
      <w:pPr>
        <w:spacing w:after="240" w:line="240" w:lineRule="exact"/>
        <w:rPr>
          <w:rStyle w:val="normaltextrun"/>
          <w:rFonts w:eastAsia="Verdana" w:cs="Verdana"/>
          <w:lang w:val="es-ES"/>
        </w:rPr>
      </w:pPr>
      <w:r>
        <w:rPr>
          <w:lang w:val="es-ES"/>
        </w:rPr>
        <w:t>Se puede eliminar una estación cuya vinculación a la GBON haya sido aprobada en el modo de edición del informe de estación. Al hacer clic en el botón de edición situado junto a la vinculación a la GBON en la sección Vinculación a programas o redes (</w:t>
      </w:r>
      <w:proofErr w:type="spellStart"/>
      <w:r>
        <w:rPr>
          <w:lang w:val="es-ES"/>
        </w:rPr>
        <w:t>Programme</w:t>
      </w:r>
      <w:proofErr w:type="spellEnd"/>
      <w:r>
        <w:rPr>
          <w:lang w:val="es-ES"/>
        </w:rPr>
        <w:t>/</w:t>
      </w:r>
      <w:proofErr w:type="spellStart"/>
      <w:r>
        <w:rPr>
          <w:lang w:val="es-ES"/>
        </w:rPr>
        <w:t>network</w:t>
      </w:r>
      <w:proofErr w:type="spellEnd"/>
      <w:r>
        <w:rPr>
          <w:lang w:val="es-ES"/>
        </w:rPr>
        <w:t xml:space="preserve"> </w:t>
      </w:r>
      <w:proofErr w:type="spellStart"/>
      <w:r>
        <w:rPr>
          <w:lang w:val="es-ES"/>
        </w:rPr>
        <w:t>affiliation</w:t>
      </w:r>
      <w:proofErr w:type="spellEnd"/>
      <w:r>
        <w:rPr>
          <w:lang w:val="es-ES"/>
        </w:rPr>
        <w:t xml:space="preserve">), aparecerá una ventana (Figura 7.11) con información detallada sobre la vinculación a la GBON. Se puede utilizar otro botón de edición, </w:t>
      </w:r>
      <w:r w:rsidR="00AA06D6">
        <w:rPr>
          <w:lang w:val="es-ES"/>
        </w:rPr>
        <w:t xml:space="preserve">situado </w:t>
      </w:r>
      <w:r>
        <w:rPr>
          <w:lang w:val="es-ES"/>
        </w:rPr>
        <w:t>en la línea de estado correspondiente debajo de "Acciones" (</w:t>
      </w:r>
      <w:proofErr w:type="spellStart"/>
      <w:r>
        <w:rPr>
          <w:lang w:val="es-ES"/>
        </w:rPr>
        <w:t>Actions</w:t>
      </w:r>
      <w:proofErr w:type="spellEnd"/>
      <w:r>
        <w:rPr>
          <w:lang w:val="es-ES"/>
        </w:rPr>
        <w:t>), para finalizar la vinculación</w:t>
      </w:r>
      <w:r w:rsidR="00AA06D6">
        <w:rPr>
          <w:lang w:val="es-ES"/>
        </w:rPr>
        <w:t>,</w:t>
      </w:r>
      <w:r>
        <w:rPr>
          <w:lang w:val="es-ES"/>
        </w:rPr>
        <w:t xml:space="preserve"> configurando el valor del menú desplegable como "Cerrado" (</w:t>
      </w:r>
      <w:proofErr w:type="spellStart"/>
      <w:r>
        <w:rPr>
          <w:lang w:val="es-ES"/>
        </w:rPr>
        <w:t>Closed</w:t>
      </w:r>
      <w:proofErr w:type="spellEnd"/>
      <w:r>
        <w:rPr>
          <w:lang w:val="es-ES"/>
        </w:rPr>
        <w:t>) e introduciendo una fecha en el campo "Hasta" (</w:t>
      </w:r>
      <w:proofErr w:type="spellStart"/>
      <w:r>
        <w:rPr>
          <w:lang w:val="es-ES"/>
        </w:rPr>
        <w:t>To</w:t>
      </w:r>
      <w:proofErr w:type="spellEnd"/>
      <w:r>
        <w:rPr>
          <w:lang w:val="es-ES"/>
        </w:rPr>
        <w:t>) para indicar el período activo de la vinculación (Figura 7.12). Los cambios, una vez guardados, se someten a aprobación (véase 3.2).</w:t>
      </w:r>
    </w:p>
    <w:p w14:paraId="2EA40F0C" w14:textId="77777777" w:rsidR="002374B0" w:rsidRPr="00E4666D" w:rsidRDefault="002374B0" w:rsidP="002374B0">
      <w:pPr>
        <w:pStyle w:val="Bodytext"/>
        <w:rPr>
          <w:lang w:val="es-ES"/>
        </w:rPr>
      </w:pPr>
    </w:p>
    <w:p w14:paraId="66E21B85" w14:textId="77777777" w:rsidR="000D701F" w:rsidRPr="003530E7" w:rsidRDefault="000D701F" w:rsidP="000D701F">
      <w:pPr>
        <w:keepNext/>
        <w:spacing w:before="120" w:line="276" w:lineRule="auto"/>
        <w:ind w:left="360"/>
      </w:pPr>
      <w:r w:rsidRPr="003530E7">
        <w:rPr>
          <w:noProof/>
        </w:rPr>
        <w:lastRenderedPageBreak/>
        <w:drawing>
          <wp:inline distT="0" distB="0" distL="0" distR="0" wp14:anchorId="7928AF2F" wp14:editId="28D596DC">
            <wp:extent cx="3733800" cy="3745736"/>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747184" cy="3759163"/>
                    </a:xfrm>
                    <a:prstGeom prst="rect">
                      <a:avLst/>
                    </a:prstGeom>
                  </pic:spPr>
                </pic:pic>
              </a:graphicData>
            </a:graphic>
          </wp:inline>
        </w:drawing>
      </w:r>
    </w:p>
    <w:p w14:paraId="0B46A732" w14:textId="11BFD598" w:rsidR="000D701F" w:rsidRPr="00E4666D" w:rsidRDefault="000D701F" w:rsidP="00873F58">
      <w:pPr>
        <w:spacing w:before="360" w:after="240" w:line="240" w:lineRule="exact"/>
        <w:jc w:val="center"/>
        <w:rPr>
          <w:rFonts w:eastAsia="Calibri"/>
          <w:b/>
          <w:bCs/>
          <w:iCs/>
          <w:lang w:val="es-ES"/>
        </w:rPr>
      </w:pPr>
      <w:r>
        <w:rPr>
          <w:b/>
          <w:bCs/>
          <w:lang w:val="es-ES"/>
        </w:rPr>
        <w:t xml:space="preserve">Figura 7.11: Actualización de la vinculación al programa o red </w:t>
      </w:r>
      <w:r w:rsidR="00873F58">
        <w:rPr>
          <w:b/>
          <w:bCs/>
          <w:lang w:val="es-ES"/>
        </w:rPr>
        <w:br/>
      </w:r>
      <w:r>
        <w:rPr>
          <w:b/>
          <w:bCs/>
          <w:lang w:val="es-ES"/>
        </w:rPr>
        <w:t>(</w:t>
      </w:r>
      <w:proofErr w:type="spellStart"/>
      <w:r>
        <w:rPr>
          <w:b/>
          <w:bCs/>
          <w:lang w:val="es-ES"/>
        </w:rPr>
        <w:t>Update</w:t>
      </w:r>
      <w:proofErr w:type="spellEnd"/>
      <w:r>
        <w:rPr>
          <w:b/>
          <w:bCs/>
          <w:lang w:val="es-ES"/>
        </w:rPr>
        <w:t xml:space="preserve"> </w:t>
      </w:r>
      <w:proofErr w:type="spellStart"/>
      <w:r>
        <w:rPr>
          <w:b/>
          <w:bCs/>
          <w:lang w:val="es-ES"/>
        </w:rPr>
        <w:t>program</w:t>
      </w:r>
      <w:proofErr w:type="spellEnd"/>
      <w:r>
        <w:rPr>
          <w:b/>
          <w:bCs/>
          <w:lang w:val="es-ES"/>
        </w:rPr>
        <w:t>/</w:t>
      </w:r>
      <w:proofErr w:type="spellStart"/>
      <w:r>
        <w:rPr>
          <w:b/>
          <w:bCs/>
          <w:lang w:val="es-ES"/>
        </w:rPr>
        <w:t>network</w:t>
      </w:r>
      <w:proofErr w:type="spellEnd"/>
      <w:r>
        <w:rPr>
          <w:b/>
          <w:bCs/>
          <w:lang w:val="es-ES"/>
        </w:rPr>
        <w:t xml:space="preserve"> </w:t>
      </w:r>
      <w:proofErr w:type="spellStart"/>
      <w:r>
        <w:rPr>
          <w:b/>
          <w:bCs/>
          <w:lang w:val="es-ES"/>
        </w:rPr>
        <w:t>affiliation</w:t>
      </w:r>
      <w:proofErr w:type="spellEnd"/>
      <w:r>
        <w:rPr>
          <w:b/>
          <w:bCs/>
          <w:lang w:val="es-ES"/>
        </w:rPr>
        <w:t>)</w:t>
      </w:r>
    </w:p>
    <w:p w14:paraId="3088CF87" w14:textId="77777777" w:rsidR="000D701F" w:rsidRPr="00E4666D" w:rsidRDefault="000D701F" w:rsidP="000D701F">
      <w:pPr>
        <w:keepNext/>
        <w:spacing w:before="120" w:line="276" w:lineRule="auto"/>
        <w:ind w:left="360"/>
        <w:rPr>
          <w:noProof/>
          <w:lang w:val="es-ES"/>
        </w:rPr>
      </w:pPr>
    </w:p>
    <w:p w14:paraId="0B8E47E3" w14:textId="77777777" w:rsidR="000D701F" w:rsidRPr="003530E7" w:rsidRDefault="000D701F" w:rsidP="000D701F">
      <w:pPr>
        <w:keepNext/>
        <w:spacing w:before="120" w:line="276" w:lineRule="auto"/>
        <w:ind w:left="360"/>
      </w:pPr>
      <w:r w:rsidRPr="003530E7">
        <w:rPr>
          <w:noProof/>
        </w:rPr>
        <w:drawing>
          <wp:inline distT="0" distB="0" distL="0" distR="0" wp14:anchorId="25094845" wp14:editId="70264A71">
            <wp:extent cx="3685310" cy="14327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752402" cy="1458854"/>
                    </a:xfrm>
                    <a:prstGeom prst="rect">
                      <a:avLst/>
                    </a:prstGeom>
                  </pic:spPr>
                </pic:pic>
              </a:graphicData>
            </a:graphic>
          </wp:inline>
        </w:drawing>
      </w:r>
    </w:p>
    <w:p w14:paraId="6C687AC5" w14:textId="0771D64E" w:rsidR="000D701F" w:rsidRPr="00E4666D" w:rsidRDefault="000D701F" w:rsidP="00873F58">
      <w:pPr>
        <w:spacing w:before="360" w:after="240" w:line="240" w:lineRule="exact"/>
        <w:jc w:val="center"/>
        <w:rPr>
          <w:rFonts w:eastAsia="Calibri"/>
          <w:b/>
          <w:bCs/>
          <w:iCs/>
          <w:lang w:val="es-ES"/>
        </w:rPr>
      </w:pPr>
      <w:r>
        <w:rPr>
          <w:b/>
          <w:bCs/>
          <w:lang w:val="es-ES"/>
        </w:rPr>
        <w:t xml:space="preserve">Figura 7.12: Corrección del estado declarado de vinculación al programa </w:t>
      </w:r>
      <w:r w:rsidR="00873F58">
        <w:rPr>
          <w:b/>
          <w:bCs/>
          <w:lang w:val="es-ES"/>
        </w:rPr>
        <w:br/>
      </w:r>
      <w:r>
        <w:rPr>
          <w:b/>
          <w:bCs/>
          <w:lang w:val="es-ES"/>
        </w:rPr>
        <w:t>o red (</w:t>
      </w:r>
      <w:proofErr w:type="spellStart"/>
      <w:r>
        <w:rPr>
          <w:b/>
          <w:bCs/>
          <w:lang w:val="es-ES"/>
        </w:rPr>
        <w:t>Correct</w:t>
      </w:r>
      <w:proofErr w:type="spellEnd"/>
      <w:r>
        <w:rPr>
          <w:b/>
          <w:bCs/>
          <w:lang w:val="es-ES"/>
        </w:rPr>
        <w:t xml:space="preserve"> </w:t>
      </w:r>
      <w:proofErr w:type="spellStart"/>
      <w:r>
        <w:rPr>
          <w:b/>
          <w:bCs/>
          <w:lang w:val="es-ES"/>
        </w:rPr>
        <w:t>the</w:t>
      </w:r>
      <w:proofErr w:type="spellEnd"/>
      <w:r>
        <w:rPr>
          <w:b/>
          <w:bCs/>
          <w:lang w:val="es-ES"/>
        </w:rPr>
        <w:t xml:space="preserve"> </w:t>
      </w:r>
      <w:proofErr w:type="spellStart"/>
      <w:r>
        <w:rPr>
          <w:b/>
          <w:bCs/>
          <w:lang w:val="es-ES"/>
        </w:rPr>
        <w:t>program</w:t>
      </w:r>
      <w:proofErr w:type="spellEnd"/>
      <w:r>
        <w:rPr>
          <w:b/>
          <w:bCs/>
          <w:lang w:val="es-ES"/>
        </w:rPr>
        <w:t>/</w:t>
      </w:r>
      <w:proofErr w:type="spellStart"/>
      <w:r>
        <w:rPr>
          <w:b/>
          <w:bCs/>
          <w:lang w:val="es-ES"/>
        </w:rPr>
        <w:t>network</w:t>
      </w:r>
      <w:proofErr w:type="spellEnd"/>
      <w:r>
        <w:rPr>
          <w:b/>
          <w:bCs/>
          <w:lang w:val="es-ES"/>
        </w:rPr>
        <w:t xml:space="preserve"> </w:t>
      </w:r>
      <w:proofErr w:type="spellStart"/>
      <w:r>
        <w:rPr>
          <w:b/>
          <w:bCs/>
          <w:lang w:val="es-ES"/>
        </w:rPr>
        <w:t>affiliation</w:t>
      </w:r>
      <w:proofErr w:type="spellEnd"/>
      <w:r>
        <w:rPr>
          <w:b/>
          <w:bCs/>
          <w:lang w:val="es-ES"/>
        </w:rPr>
        <w:t xml:space="preserve"> </w:t>
      </w:r>
      <w:proofErr w:type="spellStart"/>
      <w:r>
        <w:rPr>
          <w:b/>
          <w:bCs/>
          <w:lang w:val="es-ES"/>
        </w:rPr>
        <w:t>declared</w:t>
      </w:r>
      <w:proofErr w:type="spellEnd"/>
      <w:r>
        <w:rPr>
          <w:b/>
          <w:bCs/>
          <w:lang w:val="es-ES"/>
        </w:rPr>
        <w:t xml:space="preserve"> </w:t>
      </w:r>
      <w:proofErr w:type="gramStart"/>
      <w:r>
        <w:rPr>
          <w:b/>
          <w:bCs/>
          <w:lang w:val="es-ES"/>
        </w:rPr>
        <w:t>status</w:t>
      </w:r>
      <w:proofErr w:type="gramEnd"/>
      <w:r>
        <w:rPr>
          <w:b/>
          <w:bCs/>
          <w:lang w:val="es-ES"/>
        </w:rPr>
        <w:t>)</w:t>
      </w:r>
    </w:p>
    <w:p w14:paraId="7F3AD751" w14:textId="77777777" w:rsidR="000D701F" w:rsidRPr="00E4666D" w:rsidRDefault="000D701F" w:rsidP="00BD3815">
      <w:pPr>
        <w:spacing w:before="360" w:after="240"/>
        <w:jc w:val="both"/>
        <w:rPr>
          <w:rStyle w:val="normaltextrun"/>
          <w:rFonts w:eastAsia="Verdana" w:cs="Verdana"/>
          <w:b/>
          <w:bCs/>
          <w:lang w:val="es-ES"/>
        </w:rPr>
      </w:pPr>
      <w:r>
        <w:rPr>
          <w:b/>
          <w:bCs/>
          <w:lang w:val="es-ES"/>
        </w:rPr>
        <w:t>Notas importantes:</w:t>
      </w:r>
    </w:p>
    <w:p w14:paraId="0F633318" w14:textId="74C95858" w:rsidR="000D701F" w:rsidRPr="00E4666D" w:rsidRDefault="00E32360" w:rsidP="00873F58">
      <w:pPr>
        <w:spacing w:after="240" w:line="240" w:lineRule="exact"/>
        <w:ind w:left="567" w:hanging="567"/>
        <w:rPr>
          <w:rStyle w:val="normaltextrun"/>
          <w:rFonts w:eastAsia="Verdana" w:cs="Verdana"/>
          <w:lang w:val="es-ES"/>
        </w:rPr>
      </w:pPr>
      <w:r>
        <w:rPr>
          <w:lang w:val="es-ES"/>
        </w:rPr>
        <w:t xml:space="preserve">1. </w:t>
      </w:r>
      <w:r>
        <w:rPr>
          <w:lang w:val="es-ES"/>
        </w:rPr>
        <w:tab/>
        <w:t>Los cambios efectuados en los metadatos de la estación solo son efectivos cuando se guardan;</w:t>
      </w:r>
    </w:p>
    <w:p w14:paraId="6BABCC26" w14:textId="3BB2B6F0" w:rsidR="000D701F" w:rsidRPr="00E4666D" w:rsidRDefault="00E32360" w:rsidP="00873F58">
      <w:pPr>
        <w:spacing w:after="240" w:line="240" w:lineRule="exact"/>
        <w:ind w:left="567" w:hanging="567"/>
        <w:rPr>
          <w:rStyle w:val="normaltextrun"/>
          <w:rFonts w:eastAsia="Verdana" w:cs="Verdana"/>
          <w:lang w:val="es-ES"/>
        </w:rPr>
      </w:pPr>
      <w:r>
        <w:rPr>
          <w:lang w:val="es-ES"/>
        </w:rPr>
        <w:t xml:space="preserve">2. </w:t>
      </w:r>
      <w:r>
        <w:rPr>
          <w:lang w:val="es-ES"/>
        </w:rPr>
        <w:tab/>
        <w:t>La plataforma de prueba de OSCAR/Superficie (</w:t>
      </w:r>
      <w:hyperlink r:id="rId114" w:history="1">
        <w:r w:rsidR="00AB4CBA" w:rsidRPr="00F5299B">
          <w:rPr>
            <w:rStyle w:val="Hyperlink"/>
            <w:lang w:val="es-ES"/>
          </w:rPr>
          <w:t>https://oscardepl.wmo.int/surface</w:t>
        </w:r>
      </w:hyperlink>
      <w:r>
        <w:rPr>
          <w:lang w:val="es-ES"/>
        </w:rPr>
        <w:t>) puede utilizarse para probar las actualizaciones antes de hacerlas efectivas en la instancia operativa.</w:t>
      </w:r>
    </w:p>
    <w:p w14:paraId="34D46EBA" w14:textId="77777777" w:rsidR="00873F58" w:rsidRDefault="00873F58">
      <w:pPr>
        <w:rPr>
          <w:szCs w:val="22"/>
          <w:lang w:val="es-ES"/>
        </w:rPr>
      </w:pPr>
      <w:bookmarkStart w:id="65" w:name="_p_484c5b24247846b0a59ab41e6d53cc81"/>
      <w:bookmarkStart w:id="66" w:name="_p_5f3e12f5609940f789b4c14ae1d02723"/>
      <w:bookmarkEnd w:id="65"/>
      <w:bookmarkEnd w:id="66"/>
      <w:r>
        <w:rPr>
          <w:b/>
          <w:lang w:val="es-ES"/>
        </w:rPr>
        <w:br w:type="page"/>
      </w:r>
    </w:p>
    <w:p w14:paraId="38C3C2FE" w14:textId="638D0A63" w:rsidR="008410C9" w:rsidRPr="00AB4CBA" w:rsidRDefault="00C97B4E" w:rsidP="00873F58">
      <w:pPr>
        <w:pStyle w:val="Chapterhead"/>
        <w:spacing w:after="240"/>
        <w:ind w:left="1134" w:hanging="1134"/>
        <w:outlineLvl w:val="1"/>
        <w:rPr>
          <w:sz w:val="20"/>
          <w:szCs w:val="20"/>
          <w:lang w:val="es-ES"/>
        </w:rPr>
      </w:pPr>
      <w:r w:rsidRPr="00AB4CBA">
        <w:rPr>
          <w:bCs/>
          <w:sz w:val="20"/>
          <w:szCs w:val="20"/>
          <w:lang w:val="es-ES"/>
        </w:rPr>
        <w:t>8.</w:t>
      </w:r>
      <w:r w:rsidRPr="00AB4CBA">
        <w:rPr>
          <w:sz w:val="20"/>
          <w:szCs w:val="20"/>
          <w:lang w:val="es-ES"/>
        </w:rPr>
        <w:t xml:space="preserve"> </w:t>
      </w:r>
      <w:r w:rsidRPr="00AB4CBA">
        <w:rPr>
          <w:sz w:val="20"/>
          <w:szCs w:val="20"/>
          <w:lang w:val="es-ES"/>
        </w:rPr>
        <w:tab/>
      </w:r>
      <w:r w:rsidRPr="00AB4CBA">
        <w:rPr>
          <w:bCs/>
          <w:sz w:val="20"/>
          <w:szCs w:val="20"/>
          <w:lang w:val="es-ES"/>
        </w:rPr>
        <w:t>CONTROL DE RENDIMIENTO DEL SISTEMA DE CONTROL DE LA CALIDAD DE LOS DATOS DEL WIGOS</w:t>
      </w:r>
      <w:bookmarkStart w:id="67" w:name="_p_3881cd2b417944b2953e84de004a494c"/>
      <w:bookmarkEnd w:id="67"/>
    </w:p>
    <w:p w14:paraId="491C6769" w14:textId="77777777" w:rsidR="00916BF8" w:rsidRPr="00AB4CBA" w:rsidRDefault="00916BF8" w:rsidP="00873F58">
      <w:pPr>
        <w:pStyle w:val="xmsonormal"/>
        <w:shd w:val="clear" w:color="auto" w:fill="FFFFFF"/>
        <w:spacing w:before="0" w:beforeAutospacing="0" w:after="240" w:afterAutospacing="0"/>
        <w:rPr>
          <w:rFonts w:ascii="Verdana" w:hAnsi="Verdana" w:cs="Calibri"/>
          <w:color w:val="242424"/>
          <w:sz w:val="20"/>
          <w:szCs w:val="20"/>
          <w:bdr w:val="none" w:sz="0" w:space="0" w:color="auto" w:frame="1"/>
          <w:lang w:val="es-ES"/>
        </w:rPr>
      </w:pPr>
      <w:bookmarkStart w:id="68" w:name="_p_e87e3bcfa63242c6a42f7fad234e9fc5"/>
      <w:bookmarkStart w:id="69" w:name="_p_007f9cf57cf4428cae657eec0d626333"/>
      <w:bookmarkStart w:id="70" w:name="_Toc506888261"/>
      <w:bookmarkStart w:id="71" w:name="_Toc506888262"/>
      <w:bookmarkStart w:id="72" w:name="_Toc479012964"/>
      <w:bookmarkStart w:id="73" w:name="_p_6bb0e7cf91dc44e5a1b1cbd830ac25d9"/>
      <w:bookmarkStart w:id="74" w:name="_Toc506888265"/>
      <w:bookmarkStart w:id="75" w:name="_Toc506888271"/>
      <w:bookmarkStart w:id="76" w:name="_p_392d0af41adf40cd9d8387a8ad450af1"/>
      <w:bookmarkStart w:id="77" w:name="_p_4df0e9003ad64537aa88c4257589949a"/>
      <w:bookmarkEnd w:id="68"/>
      <w:bookmarkEnd w:id="69"/>
      <w:bookmarkEnd w:id="70"/>
      <w:bookmarkEnd w:id="71"/>
      <w:bookmarkEnd w:id="72"/>
      <w:bookmarkEnd w:id="73"/>
      <w:bookmarkEnd w:id="74"/>
      <w:bookmarkEnd w:id="75"/>
      <w:bookmarkEnd w:id="76"/>
      <w:bookmarkEnd w:id="77"/>
      <w:r w:rsidRPr="00AB4CBA">
        <w:rPr>
          <w:rFonts w:ascii="Verdana" w:hAnsi="Verdana"/>
          <w:sz w:val="20"/>
          <w:szCs w:val="20"/>
          <w:lang w:val="es-ES"/>
        </w:rPr>
        <w:t>El módulo GBON de la herramienta web del Sistema de Control de la Calidad de los Datos del WIGOS proporciona a los Miembros información actualizada sobre el rendimiento de la estación en relación con las disposiciones de la GBON. El sistema se basa en los criterios de cumplimiento de la GBON adoptados por la INFCOM. El módulo GBON de la herramienta web del Sistema de Control de la Calidad de los Datos del WIGOS también facilita los datos cuantitativos que contribuyen al control del cumplimiento de la GBON por parte de los Miembros.</w:t>
      </w:r>
    </w:p>
    <w:p w14:paraId="61B7F884" w14:textId="35D043FD" w:rsidR="008410C9" w:rsidRPr="00AB4CBA" w:rsidRDefault="00916BF8" w:rsidP="00873F58">
      <w:pPr>
        <w:pStyle w:val="xmsonormal"/>
        <w:shd w:val="clear" w:color="auto" w:fill="FFFFFF"/>
        <w:spacing w:before="0" w:beforeAutospacing="0" w:after="240" w:afterAutospacing="0"/>
        <w:rPr>
          <w:rFonts w:ascii="Verdana" w:hAnsi="Verdana" w:cs="Calibri"/>
          <w:color w:val="242424"/>
          <w:sz w:val="20"/>
          <w:szCs w:val="20"/>
          <w:lang w:val="es-ES"/>
        </w:rPr>
      </w:pPr>
      <w:r w:rsidRPr="00AB4CBA">
        <w:rPr>
          <w:rFonts w:ascii="Verdana" w:hAnsi="Verdana"/>
          <w:sz w:val="20"/>
          <w:szCs w:val="20"/>
          <w:lang w:val="es-ES"/>
        </w:rPr>
        <w:t xml:space="preserve">Para obtener más información sobre el módulo GBON de la herramienta web del Sistema de Control de la Calidad de los Datos del WIGOS, puede consultar la </w:t>
      </w:r>
      <w:hyperlink r:id="rId115" w:history="1">
        <w:r w:rsidRPr="00AB4CBA">
          <w:rPr>
            <w:rStyle w:val="Hyperlink"/>
            <w:rFonts w:ascii="Verdana" w:hAnsi="Verdana"/>
            <w:sz w:val="20"/>
            <w:szCs w:val="20"/>
            <w:lang w:val="es-ES"/>
          </w:rPr>
          <w:t>guía del usuario del Sistema de Control de la Calidad de los Datos del WIGOS disponible en línea</w:t>
        </w:r>
      </w:hyperlink>
      <w:r w:rsidRPr="00AB4CBA">
        <w:rPr>
          <w:rFonts w:ascii="Verdana" w:hAnsi="Verdana"/>
          <w:sz w:val="20"/>
          <w:szCs w:val="20"/>
          <w:lang w:val="es-ES"/>
        </w:rPr>
        <w:t>.</w:t>
      </w:r>
    </w:p>
    <w:p w14:paraId="5ED99869" w14:textId="747F3487" w:rsidR="00D4732D" w:rsidRPr="003530E7" w:rsidRDefault="00D4732D" w:rsidP="00873F58">
      <w:pPr>
        <w:pStyle w:val="Bodytext"/>
        <w:spacing w:before="360"/>
        <w:jc w:val="center"/>
      </w:pPr>
      <w:bookmarkStart w:id="78" w:name="_p_5f97c77a2c814fa9bb493319db20b54b"/>
      <w:bookmarkStart w:id="79" w:name="_p_e6009e90d5e84256bcbf6a98914e0701"/>
      <w:bookmarkStart w:id="80" w:name="_Toc479012970"/>
      <w:bookmarkStart w:id="81" w:name="_Toc479012971"/>
      <w:bookmarkStart w:id="82" w:name="_Toc479012972"/>
      <w:bookmarkStart w:id="83" w:name="_Toc479012973"/>
      <w:bookmarkStart w:id="84" w:name="_Toc479012974"/>
      <w:bookmarkStart w:id="85" w:name="_Toc479012975"/>
      <w:bookmarkStart w:id="86" w:name="_Toc479012976"/>
      <w:bookmarkStart w:id="87" w:name="_Toc479012977"/>
      <w:bookmarkStart w:id="88" w:name="_Toc479012978"/>
      <w:bookmarkStart w:id="89" w:name="_Toc475553218"/>
      <w:bookmarkStart w:id="90" w:name="_Toc475553219"/>
      <w:bookmarkStart w:id="91" w:name="_Toc475553220"/>
      <w:bookmarkStart w:id="92" w:name="_Toc475553221"/>
      <w:bookmarkStart w:id="93" w:name="_Toc475553222"/>
      <w:bookmarkStart w:id="94" w:name="_Toc475553223"/>
      <w:bookmarkStart w:id="95" w:name="_Toc475553224"/>
      <w:bookmarkStart w:id="96" w:name="_p_c5ea933459454c2cb6234bd58eecd6ee"/>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Pr>
          <w:lang w:val="es-ES"/>
        </w:rPr>
        <w:t>______________</w:t>
      </w:r>
    </w:p>
    <w:sectPr w:rsidR="00D4732D" w:rsidRPr="003530E7" w:rsidSect="000545EE">
      <w:headerReference w:type="even" r:id="rId116"/>
      <w:headerReference w:type="default" r:id="rId117"/>
      <w:headerReference w:type="first" r:id="rId118"/>
      <w:footerReference w:type="first" r:id="rId119"/>
      <w:pgSz w:w="11907" w:h="16840" w:code="9"/>
      <w:pgMar w:top="1134" w:right="1134" w:bottom="1134" w:left="1134"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78B19D" w14:textId="77777777" w:rsidR="008C2CFE" w:rsidRDefault="008C2CFE">
      <w:r>
        <w:separator/>
      </w:r>
    </w:p>
    <w:p w14:paraId="4C42B2D2" w14:textId="77777777" w:rsidR="008C2CFE" w:rsidRDefault="008C2CFE"/>
    <w:p w14:paraId="35D2F383" w14:textId="77777777" w:rsidR="008C2CFE" w:rsidRDefault="008C2CFE"/>
  </w:endnote>
  <w:endnote w:type="continuationSeparator" w:id="0">
    <w:p w14:paraId="149E4E5C" w14:textId="77777777" w:rsidR="008C2CFE" w:rsidRDefault="008C2CFE">
      <w:r>
        <w:continuationSeparator/>
      </w:r>
    </w:p>
    <w:p w14:paraId="1830E914" w14:textId="77777777" w:rsidR="008C2CFE" w:rsidRDefault="008C2CFE"/>
    <w:p w14:paraId="276A6CF3" w14:textId="77777777" w:rsidR="008C2CFE" w:rsidRDefault="008C2C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Segoe UI"/>
    <w:charset w:val="00"/>
    <w:family w:val="auto"/>
    <w:pitch w:val="variable"/>
    <w:sig w:usb0="00000000" w:usb1="5000A1FF" w:usb2="00000000" w:usb3="00000000" w:csb0="000001BF" w:csb1="00000000"/>
  </w:font>
  <w:font w:name="Arial Bold">
    <w:altName w:val="Times New Roman"/>
    <w:panose1 w:val="020B0704020202020204"/>
    <w:charset w:val="00"/>
    <w:family w:val="roman"/>
    <w:pitch w:val="default"/>
  </w:font>
  <w:font w:name="STIX">
    <w:altName w:val="Calibri"/>
    <w:panose1 w:val="00000000000000000000"/>
    <w:charset w:val="00"/>
    <w:family w:val="modern"/>
    <w:notTrueType/>
    <w:pitch w:val="variable"/>
    <w:sig w:usb0="A0002AFF" w:usb1="42006DFF" w:usb2="02000000" w:usb3="00000000" w:csb0="000001FF" w:csb1="00000000"/>
  </w:font>
  <w:font w:name="STIX Math">
    <w:altName w:val="Calibri"/>
    <w:panose1 w:val="00000000000000000000"/>
    <w:charset w:val="00"/>
    <w:family w:val="modern"/>
    <w:notTrueType/>
    <w:pitch w:val="variable"/>
    <w:sig w:usb0="A0002AFF" w:usb1="4200FDFF" w:usb2="02000020" w:usb3="00000000" w:csb0="000001FF" w:csb1="00000000"/>
  </w:font>
  <w:font w:name="StoneSerif-SemiboldItalic">
    <w:altName w:val="Verdana"/>
    <w:charset w:val="00"/>
    <w:family w:val="roman"/>
    <w:pitch w:val="variable"/>
    <w:sig w:usb0="00000003" w:usb1="00000000" w:usb2="00000000" w:usb3="00000000" w:csb0="00000001" w:csb1="00000000"/>
  </w:font>
  <w:font w:name="StoneSans">
    <w:altName w:val="Verdana"/>
    <w:panose1 w:val="00000000000000000000"/>
    <w:charset w:val="00"/>
    <w:family w:val="swiss"/>
    <w:notTrueType/>
    <w:pitch w:val="default"/>
    <w:sig w:usb0="00000003" w:usb1="00000000" w:usb2="00000000" w:usb3="00000000" w:csb0="00000001" w:csb1="00000000"/>
  </w:font>
  <w:font w:name="StoneSans-Semibold">
    <w:altName w:val="Verdana"/>
    <w:panose1 w:val="00000000000000000000"/>
    <w:charset w:val="4D"/>
    <w:family w:val="auto"/>
    <w:notTrueType/>
    <w:pitch w:val="default"/>
    <w:sig w:usb0="00000003" w:usb1="00000000" w:usb2="00000000" w:usb3="00000000" w:csb0="00000001" w:csb1="00000000"/>
  </w:font>
  <w:font w:name="StoneSans-Bold">
    <w:altName w:val="Cambria"/>
    <w:charset w:val="00"/>
    <w:family w:val="roman"/>
    <w:pitch w:val="variable"/>
    <w:sig w:usb0="00000003" w:usb1="00000000" w:usb2="00000000" w:usb3="00000000" w:csb0="00000001" w:csb1="00000000"/>
  </w:font>
  <w:font w:name="StoneSansITC-Medium">
    <w:altName w:val="Calibri"/>
    <w:panose1 w:val="020B0602030503020204"/>
    <w:charset w:val="4D"/>
    <w:family w:val="auto"/>
    <w:notTrueType/>
    <w:pitch w:val="default"/>
    <w:sig w:usb0="00000003" w:usb1="00000000" w:usb2="00000000" w:usb3="00000000" w:csb0="00000001" w:csb1="00000000"/>
  </w:font>
  <w:font w:name="StoneSansITC-MediumItalic">
    <w:altName w:val="Verdana"/>
    <w:panose1 w:val="020B0602030503090204"/>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Stone Sans ITC">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E1B78" w14:textId="3E82518C" w:rsidR="008C2CFE" w:rsidRPr="000545EE" w:rsidRDefault="008C2CFE">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E1771" w14:textId="77777777" w:rsidR="008C2CFE" w:rsidRDefault="008C2CFE">
      <w:r>
        <w:separator/>
      </w:r>
    </w:p>
  </w:footnote>
  <w:footnote w:type="continuationSeparator" w:id="0">
    <w:p w14:paraId="64E8AA05" w14:textId="77777777" w:rsidR="008C2CFE" w:rsidRDefault="008C2CFE">
      <w:r>
        <w:continuationSeparator/>
      </w:r>
    </w:p>
    <w:p w14:paraId="4CCF6D08" w14:textId="77777777" w:rsidR="008C2CFE" w:rsidRDefault="008C2CFE"/>
    <w:p w14:paraId="4C96B867" w14:textId="77777777" w:rsidR="008C2CFE" w:rsidRDefault="008C2CFE"/>
  </w:footnote>
  <w:footnote w:id="1">
    <w:p w14:paraId="5D6D59B4" w14:textId="07266445" w:rsidR="008C2CFE" w:rsidRPr="00E4666D" w:rsidRDefault="008C2CFE">
      <w:pPr>
        <w:pStyle w:val="FootnoteText"/>
        <w:rPr>
          <w:sz w:val="18"/>
          <w:szCs w:val="22"/>
          <w:lang w:val="es-ES"/>
        </w:rPr>
      </w:pPr>
      <w:r w:rsidRPr="00CB5BBD">
        <w:rPr>
          <w:rStyle w:val="FootnoteReference"/>
          <w:sz w:val="18"/>
          <w:szCs w:val="22"/>
          <w:lang w:val="es-ES"/>
        </w:rPr>
        <w:footnoteRef/>
      </w:r>
      <w:r>
        <w:rPr>
          <w:lang w:val="es-ES"/>
        </w:rPr>
        <w:t xml:space="preserve"> El requisito de densidad alta es obligatorio para el intercambio de datos si se dispone de capacidad. Véase la sección 2.2. para obtener información más detallada.</w:t>
      </w:r>
    </w:p>
  </w:footnote>
  <w:footnote w:id="2">
    <w:p w14:paraId="47173019" w14:textId="77777777" w:rsidR="008C2CFE" w:rsidRPr="00E4666D" w:rsidRDefault="008C2CFE">
      <w:pPr>
        <w:pStyle w:val="FootnoteText"/>
        <w:rPr>
          <w:lang w:val="es-ES"/>
        </w:rPr>
      </w:pPr>
      <w:r w:rsidRPr="00CB5BBD">
        <w:rPr>
          <w:rStyle w:val="FootnoteReference"/>
          <w:sz w:val="18"/>
          <w:szCs w:val="22"/>
          <w:lang w:val="es-ES"/>
        </w:rPr>
        <w:footnoteRef/>
      </w:r>
      <w:r>
        <w:rPr>
          <w:lang w:val="es-ES"/>
        </w:rPr>
        <w:t xml:space="preserve"> Este requisito es obligatorio para el intercambio de datos si se dispone de capacidad.</w:t>
      </w:r>
    </w:p>
  </w:footnote>
  <w:footnote w:id="3">
    <w:p w14:paraId="5F9D0386" w14:textId="77777777" w:rsidR="008C2CFE" w:rsidRPr="002D6853" w:rsidRDefault="008C2CFE" w:rsidP="00662F26">
      <w:pPr>
        <w:pStyle w:val="FootnoteText"/>
        <w:spacing w:after="120"/>
        <w:rPr>
          <w:szCs w:val="16"/>
          <w:lang w:val="es-ES"/>
        </w:rPr>
      </w:pPr>
      <w:r w:rsidRPr="002D6853">
        <w:rPr>
          <w:rStyle w:val="FootnoteReference"/>
          <w:szCs w:val="16"/>
          <w:lang w:val="es-ES"/>
        </w:rPr>
        <w:footnoteRef/>
      </w:r>
      <w:r w:rsidRPr="002D6853">
        <w:rPr>
          <w:szCs w:val="16"/>
          <w:lang w:val="es-ES"/>
        </w:rPr>
        <w:t xml:space="preserve"> Agregación mensual de las variables observadas a partir de los informes BUFR, recibidos por al menos dos de los centros de PNT monitorizados por la herramienta web del Sistema de Control de la Calidad de los Datos del WIGOS.</w:t>
      </w:r>
    </w:p>
  </w:footnote>
  <w:footnote w:id="4">
    <w:p w14:paraId="259D20B8" w14:textId="77777777" w:rsidR="008C2CFE" w:rsidRPr="002D6853" w:rsidRDefault="008C2CFE" w:rsidP="00662F26">
      <w:pPr>
        <w:pStyle w:val="FootnoteText"/>
        <w:spacing w:after="120"/>
        <w:rPr>
          <w:szCs w:val="16"/>
          <w:lang w:val="es-ES"/>
        </w:rPr>
      </w:pPr>
      <w:r w:rsidRPr="002D6853">
        <w:rPr>
          <w:rStyle w:val="FootnoteReference"/>
          <w:szCs w:val="16"/>
          <w:lang w:val="es-ES"/>
        </w:rPr>
        <w:footnoteRef/>
      </w:r>
      <w:r w:rsidRPr="002D6853">
        <w:rPr>
          <w:szCs w:val="16"/>
          <w:lang w:val="es-ES"/>
        </w:rPr>
        <w:t xml:space="preserve"> Si una estación es operada manualmente pero no está operativa las 24 horas, esta cifra puede reducirse a las horas operativas (informes por hora, es decir, 0800 - 1700 = 10 informes) registradas en OSCAR/Superficie. Esto debe registrarse como una excepción a la reglamentación relativa a la GBON.</w:t>
      </w:r>
    </w:p>
  </w:footnote>
  <w:footnote w:id="5">
    <w:p w14:paraId="17FD020C" w14:textId="3842C4C5" w:rsidR="008C2CFE" w:rsidRPr="002D6853" w:rsidRDefault="008C2CFE" w:rsidP="00662F26">
      <w:pPr>
        <w:pStyle w:val="FootnoteText"/>
        <w:spacing w:after="120"/>
        <w:rPr>
          <w:szCs w:val="16"/>
          <w:lang w:val="es-ES"/>
        </w:rPr>
      </w:pPr>
      <w:r w:rsidRPr="002D6853">
        <w:rPr>
          <w:rStyle w:val="FootnoteReference"/>
          <w:szCs w:val="16"/>
          <w:lang w:val="es-ES"/>
        </w:rPr>
        <w:footnoteRef/>
      </w:r>
      <w:r w:rsidRPr="002D6853">
        <w:rPr>
          <w:szCs w:val="16"/>
          <w:lang w:val="es-ES"/>
        </w:rPr>
        <w:t xml:space="preserve"> Agregación mensual de los informes de los centros de PNT o del SIO que no se han ajustado a la hora límite.</w:t>
      </w:r>
    </w:p>
  </w:footnote>
  <w:footnote w:id="6">
    <w:p w14:paraId="6044399C" w14:textId="77777777" w:rsidR="008C2CFE" w:rsidRPr="002D6853" w:rsidRDefault="008C2CFE" w:rsidP="00662F26">
      <w:pPr>
        <w:pStyle w:val="FootnoteText"/>
        <w:spacing w:after="120"/>
        <w:rPr>
          <w:szCs w:val="16"/>
          <w:lang w:val="es-ES"/>
        </w:rPr>
      </w:pPr>
      <w:r w:rsidRPr="002D6853">
        <w:rPr>
          <w:rStyle w:val="FootnoteReference"/>
          <w:szCs w:val="16"/>
          <w:lang w:val="es-ES"/>
        </w:rPr>
        <w:footnoteRef/>
      </w:r>
      <w:r w:rsidRPr="002D6853">
        <w:rPr>
          <w:szCs w:val="16"/>
          <w:lang w:val="es-ES"/>
        </w:rPr>
        <w:t xml:space="preserve"> Agregación mensual de los informes rechazados de los centros de PNT, también podrían ser errores flagrantes o estar fuera del umbral OB-FG.</w:t>
      </w:r>
    </w:p>
  </w:footnote>
  <w:footnote w:id="7">
    <w:p w14:paraId="3462F8CE" w14:textId="77777777" w:rsidR="008C2CFE" w:rsidRPr="002D6853" w:rsidRDefault="008C2CFE" w:rsidP="00662F26">
      <w:pPr>
        <w:pStyle w:val="FootnoteText"/>
        <w:spacing w:after="120"/>
        <w:rPr>
          <w:szCs w:val="16"/>
          <w:lang w:val="es-ES"/>
        </w:rPr>
      </w:pPr>
      <w:r w:rsidRPr="002D6853">
        <w:rPr>
          <w:rStyle w:val="FootnoteReference"/>
          <w:szCs w:val="16"/>
          <w:lang w:val="es-ES"/>
        </w:rPr>
        <w:footnoteRef/>
      </w:r>
      <w:r w:rsidRPr="002D6853">
        <w:rPr>
          <w:szCs w:val="16"/>
          <w:lang w:val="es-ES"/>
        </w:rPr>
        <w:t xml:space="preserve"> Agregación mensual de las variables observadas a partir de los informes BUFR, recibidos por al menos dos de los centros de PNT monitorizados por la herramienta web del Sistema de Control de la Calidad de los Datos del WIGOS.</w:t>
      </w:r>
    </w:p>
  </w:footnote>
  <w:footnote w:id="8">
    <w:p w14:paraId="53EFB639" w14:textId="77777777" w:rsidR="008C2CFE" w:rsidRPr="002D6853" w:rsidRDefault="008C2CFE" w:rsidP="00662F26">
      <w:pPr>
        <w:pStyle w:val="FootnoteText"/>
        <w:spacing w:after="120"/>
        <w:rPr>
          <w:szCs w:val="16"/>
          <w:lang w:val="es-ES"/>
        </w:rPr>
      </w:pPr>
      <w:r w:rsidRPr="002D6853">
        <w:rPr>
          <w:rStyle w:val="FootnoteReference"/>
          <w:szCs w:val="16"/>
          <w:lang w:val="es-ES"/>
        </w:rPr>
        <w:footnoteRef/>
      </w:r>
      <w:r w:rsidRPr="002D6853">
        <w:rPr>
          <w:szCs w:val="16"/>
          <w:lang w:val="es-ES"/>
        </w:rPr>
        <w:t xml:space="preserve"> Si una estación de observación por radiosonda solo puede realizar un sondeo al día, esta cifra puede reducirse a lo programado conforme a lo que se haya registrado en OSCAR/Superficie. Esto debe registrarse como una excepción a la reglamentación relativa a la GBON.</w:t>
      </w:r>
    </w:p>
  </w:footnote>
  <w:footnote w:id="9">
    <w:p w14:paraId="2E2E9C2C" w14:textId="6594AF45" w:rsidR="008C2CFE" w:rsidRPr="002D6853" w:rsidRDefault="008C2CFE" w:rsidP="00662F26">
      <w:pPr>
        <w:pStyle w:val="FootnoteText"/>
        <w:spacing w:after="120"/>
        <w:rPr>
          <w:szCs w:val="16"/>
          <w:lang w:val="es-ES"/>
        </w:rPr>
      </w:pPr>
      <w:r w:rsidRPr="002D6853">
        <w:rPr>
          <w:rStyle w:val="FootnoteReference"/>
          <w:szCs w:val="16"/>
          <w:lang w:val="es-ES"/>
        </w:rPr>
        <w:footnoteRef/>
      </w:r>
      <w:r w:rsidRPr="002D6853">
        <w:rPr>
          <w:szCs w:val="16"/>
          <w:lang w:val="es-ES"/>
        </w:rPr>
        <w:t xml:space="preserve"> Datos de alta resolución (BUFR) recibidos que hayan sido confirmados por al menos dos de los centros de PNT monitorizados por la herramienta web del Sistema de Control de la Calidad de los Datos del WIGOS.</w:t>
      </w:r>
    </w:p>
  </w:footnote>
  <w:footnote w:id="10">
    <w:p w14:paraId="4D2A1A4D" w14:textId="417364C8" w:rsidR="008C2CFE" w:rsidRPr="002D6853" w:rsidRDefault="008C2CFE" w:rsidP="00662F26">
      <w:pPr>
        <w:pStyle w:val="FootnoteText"/>
        <w:spacing w:after="120"/>
        <w:rPr>
          <w:szCs w:val="16"/>
          <w:lang w:val="es-ES"/>
        </w:rPr>
      </w:pPr>
      <w:r w:rsidRPr="002D6853">
        <w:rPr>
          <w:rStyle w:val="FootnoteReference"/>
          <w:szCs w:val="16"/>
          <w:lang w:val="es-ES"/>
        </w:rPr>
        <w:footnoteRef/>
      </w:r>
      <w:r w:rsidRPr="002D6853">
        <w:rPr>
          <w:szCs w:val="16"/>
          <w:lang w:val="es-ES"/>
        </w:rPr>
        <w:t xml:space="preserve"> Agregación mensual de los informes de los centros de PNT o del SIO que no se han ajustado a la hora límite.</w:t>
      </w:r>
    </w:p>
  </w:footnote>
  <w:footnote w:id="11">
    <w:p w14:paraId="633FDF67" w14:textId="77777777" w:rsidR="008C2CFE" w:rsidRPr="00E4666D" w:rsidRDefault="008C2CFE" w:rsidP="00662F26">
      <w:pPr>
        <w:pStyle w:val="FootnoteText"/>
        <w:spacing w:after="120"/>
        <w:rPr>
          <w:szCs w:val="16"/>
          <w:lang w:val="es-ES"/>
        </w:rPr>
      </w:pPr>
      <w:r w:rsidRPr="002D6853">
        <w:rPr>
          <w:rStyle w:val="FootnoteReference"/>
          <w:szCs w:val="16"/>
          <w:lang w:val="es-ES"/>
        </w:rPr>
        <w:footnoteRef/>
      </w:r>
      <w:r w:rsidRPr="002D6853">
        <w:rPr>
          <w:szCs w:val="16"/>
          <w:lang w:val="es-ES"/>
        </w:rPr>
        <w:t xml:space="preserve"> Agregación mensual de los informes rechazados de los centros de PNT, también podrían ser errores flagrantes o estar fuera del umbral OB-FG.</w:t>
      </w:r>
    </w:p>
  </w:footnote>
  <w:footnote w:id="12">
    <w:p w14:paraId="246A4DAF" w14:textId="77777777" w:rsidR="008C2CFE" w:rsidRPr="00E4666D" w:rsidRDefault="008C2CFE" w:rsidP="00F16E7C">
      <w:pPr>
        <w:pStyle w:val="CommentText"/>
        <w:rPr>
          <w:lang w:val="es-ES"/>
        </w:rPr>
      </w:pPr>
      <w:r w:rsidRPr="005C2737">
        <w:rPr>
          <w:rStyle w:val="FootnoteReference"/>
          <w:sz w:val="16"/>
          <w:szCs w:val="16"/>
          <w:lang w:val="es-ES"/>
        </w:rPr>
        <w:footnoteRef/>
      </w:r>
      <w:r>
        <w:rPr>
          <w:lang w:val="es-ES"/>
        </w:rPr>
        <w:t xml:space="preserve"> </w:t>
      </w:r>
      <w:r w:rsidRPr="005C2737">
        <w:rPr>
          <w:sz w:val="16"/>
          <w:szCs w:val="16"/>
          <w:lang w:val="es-ES"/>
        </w:rPr>
        <w:t>En lo que respecta a los Miembros designados como beneficiarios del SOFF durante las fases de inversión y de consolidación de la conformidad, cualquier decisión de recurrir al artículo 9 b) debido específicamente a la imposibilidad de dar pleno cumplimiento a los requisitos de la GBON estará sujeta a la aprobación del Comité Director del SOFF.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CDBFB" w14:textId="77777777" w:rsidR="008C2CFE" w:rsidRDefault="008C2CFE">
    <w:pPr>
      <w:pStyle w:val="Header"/>
    </w:pPr>
    <w:r>
      <w:rPr>
        <w:noProof/>
      </w:rPr>
      <w:pict w14:anchorId="16D04211">
        <v:shapetype id="_x0000_m105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E833E4C">
        <v:shape id="_x0000_s1025" type="#_x0000_m1055" style="position:absolute;margin-left:0;margin-top:0;width:595.3pt;height:550pt;z-index:-25163366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90FE1C3" w14:textId="77777777" w:rsidR="008C2CFE" w:rsidRDefault="008C2CFE"/>
  <w:p w14:paraId="4154A472" w14:textId="77777777" w:rsidR="008C2CFE" w:rsidRDefault="008C2CFE">
    <w:pPr>
      <w:pStyle w:val="Header"/>
    </w:pPr>
    <w:r>
      <w:rPr>
        <w:noProof/>
      </w:rPr>
      <w:pict w14:anchorId="1BF9C553">
        <v:shapetype id="_x0000_m105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813C137">
        <v:shape id="_x0000_s1029" type="#_x0000_m1054" style="position:absolute;margin-left:0;margin-top:0;width:595.3pt;height:550pt;z-index:-25163468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7358280" w14:textId="77777777" w:rsidR="008C2CFE" w:rsidRDefault="008C2CFE"/>
  <w:p w14:paraId="0ADC6795" w14:textId="77777777" w:rsidR="008C2CFE" w:rsidRDefault="008C2CFE">
    <w:pPr>
      <w:pStyle w:val="Header"/>
    </w:pPr>
    <w:r>
      <w:rPr>
        <w:noProof/>
      </w:rPr>
      <w:pict w14:anchorId="08E84070">
        <v:shapetype id="_x0000_m105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0FCB9EA">
        <v:shape id="_x0000_s1033" type="#_x0000_m1053" style="position:absolute;margin-left:0;margin-top:0;width:595.3pt;height:550pt;z-index:-25163571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47E7501" w14:textId="77777777" w:rsidR="008C2CFE" w:rsidRDefault="008C2CFE"/>
  <w:p w14:paraId="425B71D8" w14:textId="77777777" w:rsidR="008C2CFE" w:rsidRDefault="008C2CFE">
    <w:pPr>
      <w:pStyle w:val="Header"/>
    </w:pPr>
    <w:r>
      <w:rPr>
        <w:noProof/>
      </w:rPr>
      <w:pict w14:anchorId="0A752CD0">
        <v:shapetype id="_x0000_m105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C44E321">
        <v:shape id="_x0000_s1037" type="#_x0000_m1052" style="position:absolute;margin-left:0;margin-top:0;width:595.3pt;height:550pt;z-index:-2516367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92B3413" w14:textId="77777777" w:rsidR="008C2CFE" w:rsidRDefault="008C2CFE"/>
  <w:p w14:paraId="1979971E" w14:textId="77777777" w:rsidR="008C2CFE" w:rsidRDefault="008C2CFE">
    <w:pPr>
      <w:pStyle w:val="Header"/>
    </w:pPr>
    <w:r>
      <w:rPr>
        <w:noProof/>
      </w:rPr>
      <mc:AlternateContent>
        <mc:Choice Requires="wps">
          <w:drawing>
            <wp:anchor distT="0" distB="0" distL="114300" distR="114300" simplePos="0" relativeHeight="251658240" behindDoc="0" locked="0" layoutInCell="1" allowOverlap="1" wp14:anchorId="09CA5257" wp14:editId="31C595EB">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21"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W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ZpwZ&#10;0RNHn6hrwqw7xYKu1XWtArehV4N1BT15tA8YqnX2HuRXxww8qo5eBS8SFi09V7fOvlAhwtAqUVMF&#10;ES95BhgER9BsNbyHmjIRGw+xrbsG+xCQGsZ2kb2nI3tq55kk5ez8Ik2JY0mm/Z0yTkRxeGzR+bcK&#10;ehYuJUfKLoKL7b3zo+vBJcQysNRdFweEQpBLUIZgkdcfV+nV3eXdZT7Jp7O7SZ5W1eR2ucgns2X2&#10;5qI6rxaLKvsZ8LO8GHsY4A4zluV/x+F+2sfpOE6Zg07XAS6k5HC9WnTItoJmfBl/gSoq/MQteZ5G&#10;NFMth/9YXSQj9H/keQX1E3GBQL2ittKS06UF/M7ZQAtTcvdtI1Bx1r0zxOdVludhw6KQX7yZkoCn&#10;ltWpRRhJUCX3nI3XhR+3cmNRr1uKlEVuDNzS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DfDWgWAIAAK4EAAAOAAAAAAAAAAAAAAAAAC4CAABkcnMvZTJvRG9jLnhtbFBLAQItABQA&#10;BgAIAAAAIQCGW4fV2AAAAAUBAAAPAAAAAAAAAAAAAAAAALIEAABkcnMvZG93bnJldi54bWxQSwUG&#10;AAAAAAQABADzAAAAtwUAAAAA&#10;" w14:anchorId="64022A62">
              <o:lock v:ext="edit" selection="t" aspectratio="t"/>
            </v:rect>
          </w:pict>
        </mc:Fallback>
      </mc:AlternateContent>
    </w:r>
    <w:r>
      <w:rPr>
        <w:noProof/>
      </w:rPr>
      <w:drawing>
        <wp:anchor distT="0" distB="0" distL="114300" distR="114300" simplePos="0" relativeHeight="251667456" behindDoc="1" locked="0" layoutInCell="0" allowOverlap="1" wp14:anchorId="041528B3" wp14:editId="3AC703B7">
          <wp:simplePos x="0" y="0"/>
          <wp:positionH relativeFrom="page">
            <wp:align>left</wp:align>
          </wp:positionH>
          <wp:positionV relativeFrom="page">
            <wp:align>top</wp:align>
          </wp:positionV>
          <wp:extent cx="6120765" cy="5655310"/>
          <wp:effectExtent l="0" t="0" r="0" b="2540"/>
          <wp:wrapNone/>
          <wp:docPr id="53" name="Picture 53"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a:noFill/>
                </pic:spPr>
              </pic:pic>
            </a:graphicData>
          </a:graphic>
          <wp14:sizeRelH relativeFrom="page">
            <wp14:pctWidth>0</wp14:pctWidth>
          </wp14:sizeRelH>
          <wp14:sizeRelV relativeFrom="page">
            <wp14:pctHeight>0</wp14:pctHeight>
          </wp14:sizeRelV>
        </wp:anchor>
      </w:drawing>
    </w:r>
    <w:r>
      <w:pict w14:anchorId="7FE64F28">
        <v:shapetype id="_x0000_m105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41779CE7">
        <v:shape id="WordPictureWatermark835936646" o:spid="_x0000_s1047" type="#_x0000_m1051" style="position:absolute;margin-left:0;margin-top:0;width:595.3pt;height:550pt;z-index:-25163776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8A7280C" w14:textId="77777777" w:rsidR="008C2CFE" w:rsidRDefault="008C2CFE"/>
  <w:p w14:paraId="6FB83F81" w14:textId="77777777" w:rsidR="008C2CFE" w:rsidRDefault="008C2CFE">
    <w:pPr>
      <w:pStyle w:val="Header"/>
    </w:pPr>
    <w:r>
      <w:rPr>
        <w:noProof/>
      </w:rPr>
      <mc:AlternateContent>
        <mc:Choice Requires="wps">
          <w:drawing>
            <wp:anchor distT="0" distB="0" distL="114300" distR="114300" simplePos="0" relativeHeight="251659264" behindDoc="0" locked="0" layoutInCell="1" allowOverlap="1" wp14:anchorId="24CB2F00" wp14:editId="21D6C7C0">
              <wp:simplePos x="0" y="0"/>
              <wp:positionH relativeFrom="column">
                <wp:posOffset>0</wp:posOffset>
              </wp:positionH>
              <wp:positionV relativeFrom="paragraph">
                <wp:posOffset>0</wp:posOffset>
              </wp:positionV>
              <wp:extent cx="635000" cy="635000"/>
              <wp:effectExtent l="0" t="0" r="3175" b="3175"/>
              <wp:wrapNone/>
              <wp:docPr id="19" name="Rectangl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19"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Z5WAIAAK4EAAAOAAAAZHJzL2Uyb0RvYy54bWysVNuO2jAQfa/Uf7D8DknYwC4RYYUIVJW2&#10;7arbfoBxHGI18bi2IdBV/71jByjbfamq8mA8F5+5nJnM7g9tQ/bCWAkqp8kwpkQoDqVU25x+/bIe&#10;3FFiHVMla0CJnB6Fpffzt29mnc7ECGpoSmEIgiibdTqntXM6iyLLa9EyOwQtFBorMC1zKJptVBrW&#10;IXrbRKM4nkQdmFIb4MJa1Ba9kc4DflUJ7j5VlRWONDnF3Fw4TTg3/ozmM5ZtDdO15Kc02D9k0TKp&#10;MOgFqmCOkZ2Rr6BayQ1YqNyQQxtBVUkuQg1YTRL/Uc1TzbQItWBzrL60yf4/WP5x/2iILJG7KSWK&#10;tcjRZ+waU9tGEK+rZVkKz63vVadthk+e9KPx1Vr9APybJQqeRIOvvBcKyxqfi4XVr1TGQFcLVmIF&#10;AS96AegFi9Bk032AEjNhOwehrYfKtD4gNowcAnvHC3vi4AhH5eRmHMfIMUfT6Y4ZRyw7P9bGuncC&#10;WuIvOTWYXQBn+wfretezi4+lYC2bJgwIhkAXr/TBAq/P03i6ulvdpYN0NFkN0rgoBov1Mh1M1snt&#10;uLgplssi+enxkzTre+jhzjOWpH/H4Wna++m4TJmFRpYezqdkzXazbAzZM5zxdfh5qrDwK7foZRrB&#10;jLWc/0N1gQzf/57nDZRH5MIA9grbikuOlxrMD0o6XJic2u87ZgQlzXuFfE6TNPUbFoR0fDtCwVxb&#10;NtcWpjhC5dRR0l+Xrt/KnTZyW2OkJHCjYIEzUMnAj5+PPivM2wu4FKGC0wL7rbuWg9fvz8z8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gQbZ5WAIAAK4EAAAOAAAAAAAAAAAAAAAAAC4CAABkcnMvZTJvRG9jLnhtbFBLAQItABQA&#10;BgAIAAAAIQCGW4fV2AAAAAUBAAAPAAAAAAAAAAAAAAAAALIEAABkcnMvZG93bnJldi54bWxQSwUG&#10;AAAAAAQABADzAAAAtwUAAAAA&#10;" w14:anchorId="320E3501">
              <o:lock v:ext="edit" selection="t" aspectratio="t"/>
            </v:rect>
          </w:pict>
        </mc:Fallback>
      </mc:AlternateContent>
    </w:r>
    <w:r>
      <w:rPr>
        <w:noProof/>
      </w:rPr>
      <w:drawing>
        <wp:anchor distT="0" distB="0" distL="114300" distR="114300" simplePos="0" relativeHeight="251666432" behindDoc="1" locked="0" layoutInCell="0" allowOverlap="1" wp14:anchorId="47B9E5CB" wp14:editId="41B17CCE">
          <wp:simplePos x="0" y="0"/>
          <wp:positionH relativeFrom="page">
            <wp:align>left</wp:align>
          </wp:positionH>
          <wp:positionV relativeFrom="page">
            <wp:align>top</wp:align>
          </wp:positionV>
          <wp:extent cx="6120765" cy="5655310"/>
          <wp:effectExtent l="0" t="0" r="0" b="2540"/>
          <wp:wrapNone/>
          <wp:docPr id="54" name="Picture 54"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a:noFill/>
                </pic:spPr>
              </pic:pic>
            </a:graphicData>
          </a:graphic>
          <wp14:sizeRelH relativeFrom="page">
            <wp14:pctWidth>0</wp14:pctWidth>
          </wp14:sizeRelH>
          <wp14:sizeRelV relativeFrom="page">
            <wp14:pctHeight>0</wp14:pctHeight>
          </wp14:sizeRelV>
        </wp:anchor>
      </w:drawing>
    </w:r>
  </w:p>
  <w:p w14:paraId="0A692E54" w14:textId="77777777" w:rsidR="008C2CFE" w:rsidRDefault="008C2CFE"/>
  <w:p w14:paraId="002306BD" w14:textId="77777777" w:rsidR="008C2CFE" w:rsidRDefault="008C2CFE">
    <w:pPr>
      <w:pStyle w:val="Header"/>
    </w:pPr>
    <w:r>
      <w:rPr>
        <w:noProof/>
      </w:rPr>
      <mc:AlternateContent>
        <mc:Choice Requires="wps">
          <w:drawing>
            <wp:anchor distT="0" distB="0" distL="114300" distR="114300" simplePos="0" relativeHeight="251660288" behindDoc="0" locked="0" layoutInCell="1" allowOverlap="1" wp14:anchorId="510DBF6E" wp14:editId="1775BB93">
              <wp:simplePos x="0" y="0"/>
              <wp:positionH relativeFrom="column">
                <wp:posOffset>0</wp:posOffset>
              </wp:positionH>
              <wp:positionV relativeFrom="paragraph">
                <wp:posOffset>0</wp:posOffset>
              </wp:positionV>
              <wp:extent cx="635000" cy="635000"/>
              <wp:effectExtent l="0" t="0" r="3175" b="3175"/>
              <wp:wrapNone/>
              <wp:docPr id="17" name="Rectangl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17"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x5WA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5wZ&#10;0RNHn6hrwqw7xYKu1XWtArehV4N1BT15tA8YqnX2Hcivjhl4VB29Cl4kLFp6ru6cfaFChKFVoqYK&#10;Il7yDDAIjqDZangPNWUiNh5iW3cN9iEgNYztIntPR/bUzjNJytn5RZoSx5JM+ztlnIji8Nii828U&#10;9CxcSo6UXQQX23fOj64HlxDLwFJ3XRwQCkEuQRmCRV5/XKfX91f3V/kkn87uJ3laVZO75SKfzJbZ&#10;5UV1Xi0WVfYz4Gd5MfYwwB1mLMv/jsP9tI/TcZwyB52uA1xIyeF6teiQbQXN+DL+AlVU+Ilb8jyN&#10;aKZaDv+xukhG6P/I8wrqJ+ICgXpFbaUlp0sL+J2zgRam5O7bRqDirHtriM/rLM/DhkUhv7ickoCn&#10;ltWpRRhJUCX3nI3XhR+3cmNRr1uKlEVuDNzR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K29x5WAIAAK4EAAAOAAAAAAAAAAAAAAAAAC4CAABkcnMvZTJvRG9jLnhtbFBLAQItABQA&#10;BgAIAAAAIQCGW4fV2AAAAAUBAAAPAAAAAAAAAAAAAAAAALIEAABkcnMvZG93bnJldi54bWxQSwUG&#10;AAAAAAQABADzAAAAtwUAAAAA&#10;" w14:anchorId="2306745F">
              <o:lock v:ext="edit" selection="t" aspectratio="t"/>
            </v:rect>
          </w:pict>
        </mc:Fallback>
      </mc:AlternateContent>
    </w:r>
    <w:r>
      <w:rPr>
        <w:noProof/>
      </w:rPr>
      <w:drawing>
        <wp:anchor distT="0" distB="0" distL="114300" distR="114300" simplePos="0" relativeHeight="251665408" behindDoc="1" locked="0" layoutInCell="0" allowOverlap="1" wp14:anchorId="1AA9BD5D" wp14:editId="7CD24CC8">
          <wp:simplePos x="0" y="0"/>
          <wp:positionH relativeFrom="page">
            <wp:align>left</wp:align>
          </wp:positionH>
          <wp:positionV relativeFrom="page">
            <wp:align>top</wp:align>
          </wp:positionV>
          <wp:extent cx="6120765" cy="5655310"/>
          <wp:effectExtent l="0" t="0" r="0" b="2540"/>
          <wp:wrapNone/>
          <wp:docPr id="55" name="Picture 55"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a:noFill/>
                </pic:spPr>
              </pic:pic>
            </a:graphicData>
          </a:graphic>
          <wp14:sizeRelH relativeFrom="page">
            <wp14:pctWidth>0</wp14:pctWidth>
          </wp14:sizeRelH>
          <wp14:sizeRelV relativeFrom="page">
            <wp14:pctHeight>0</wp14:pctHeight>
          </wp14:sizeRelV>
        </wp:anchor>
      </w:drawing>
    </w:r>
  </w:p>
  <w:p w14:paraId="5AC6394E" w14:textId="77777777" w:rsidR="008C2CFE" w:rsidRDefault="008C2CFE"/>
  <w:p w14:paraId="01914B78" w14:textId="77777777" w:rsidR="008C2CFE" w:rsidRDefault="008C2CFE">
    <w:pPr>
      <w:pStyle w:val="Header"/>
    </w:pPr>
    <w:r>
      <w:rPr>
        <w:noProof/>
      </w:rPr>
      <mc:AlternateContent>
        <mc:Choice Requires="wps">
          <w:drawing>
            <wp:anchor distT="0" distB="0" distL="114300" distR="114300" simplePos="0" relativeHeight="251662336" behindDoc="0" locked="0" layoutInCell="1" allowOverlap="1" wp14:anchorId="2AD8971C" wp14:editId="5229C9CA">
              <wp:simplePos x="0" y="0"/>
              <wp:positionH relativeFrom="column">
                <wp:posOffset>0</wp:posOffset>
              </wp:positionH>
              <wp:positionV relativeFrom="paragraph">
                <wp:posOffset>0</wp:posOffset>
              </wp:positionV>
              <wp:extent cx="635000" cy="635000"/>
              <wp:effectExtent l="0" t="0" r="3175" b="3175"/>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8"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Fo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noozo&#10;iaJP1DRh1p1ipGp1XavAbOjUYF1BDx7tA4Zanb0H+dUxA4+qo0fBi4RFS6/VrbMvVIgwtErUlH/E&#10;S54BBsERNFsN76GmRMTGQ2zqrsE+BKR2sV3k7unIndp5Jkk5O79IU2JYkml/p4wTURweW3T+rYKe&#10;hUvJkbKL4GJ77/zoenAJsQwsddfF8aAQ5BKUIVhk9cdVenV3eXeZT/Lp7G6Sp1U1uV0u8slsmb25&#10;qM6rxaLKfgb8LC/GHga4w4Rl+d8xuJ/1cTaOM+ag03WACyk5XK8WHbKtoAlfxl+gigo/cUuepxHN&#10;VMvhP1YXyQj9H3leQf1EXCBQr6ittOJ0aQG/czbQupTcfdsIVJx17wzxeZXledivKOQXb6Yk4Kll&#10;dWoRRhJUyT1n43Xhx53cWNTrliJlkRsDtzQDjY78hPkYs6K8g0ArESvYr2/YuVM5ev3+yM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GNUgWhXAgAArAQAAA4AAAAAAAAAAAAAAAAALgIAAGRycy9lMm9Eb2MueG1sUEsBAi0AFAAG&#10;AAgAAAAhAIZbh9XYAAAABQEAAA8AAAAAAAAAAAAAAAAAsQQAAGRycy9kb3ducmV2LnhtbFBLBQYA&#10;AAAABAAEAPMAAAC2BQAAAAA=&#10;" w14:anchorId="2CB97F7E">
              <o:lock v:ext="edit" selection="t" aspectratio="t"/>
            </v:rect>
          </w:pict>
        </mc:Fallback>
      </mc:AlternateContent>
    </w:r>
    <w:r>
      <w:rPr>
        <w:noProof/>
      </w:rPr>
      <mc:AlternateContent>
        <mc:Choice Requires="wps">
          <w:drawing>
            <wp:anchor distT="0" distB="0" distL="114300" distR="114300" simplePos="0" relativeHeight="251661312" behindDoc="0" locked="0" layoutInCell="1" allowOverlap="1" wp14:anchorId="282F2233" wp14:editId="333FD3DF">
              <wp:simplePos x="0" y="0"/>
              <wp:positionH relativeFrom="column">
                <wp:posOffset>0</wp:posOffset>
              </wp:positionH>
              <wp:positionV relativeFrom="paragraph">
                <wp:posOffset>0</wp:posOffset>
              </wp:positionV>
              <wp:extent cx="635000" cy="635000"/>
              <wp:effectExtent l="0" t="0" r="3175" b="3175"/>
              <wp:wrapNone/>
              <wp:docPr id="7" name="Rectangl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7"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fWWAIAAKw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kjMj&#10;eqLoEzVNmHWnGKlaXdcqMBs6NVhX0INH+4ChVmffgfzqmIFH1dGj4EXCoqXX6s7ZFypEGFolaso/&#10;4iXPAIPgCJqthvdQUyJi4yE2dddgHwJSu9gucvd05E7tPJOknJ1fpCkxLMm0v1PGiSgOjy06/0ZB&#10;z8Kl5EjZRXCxfef86HpwCbEMLHXXxfGgEOQSlCFYZPXHdXp9f3V/lU/y6ex+kqdVNblbLvLJbJld&#10;XlTn1WJRZT8DfpYXYw8D3GHCsvzvGNzP+jgbxxlz0Ok6wIWUHK5Xiw7ZVtCEL+MvUEWFn7glz9OI&#10;Zqrl8B+ri2SE/o88r6B+Ii4QqFfUVlpxurSA3zkbaF1K7r5tBCrOureG+LzO8jzsVxTyi8spCXhq&#10;WZ1ahJEEVXLP2Xhd+HEnNxb1uqVIWeTGwB3NQKMjP2E+xqwo7yDQSsQK9usbdu5Ujl6/PzL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BaMfWWAIAAKwEAAAOAAAAAAAAAAAAAAAAAC4CAABkcnMvZTJvRG9jLnhtbFBLAQItABQA&#10;BgAIAAAAIQCGW4fV2AAAAAUBAAAPAAAAAAAAAAAAAAAAALIEAABkcnMvZG93bnJldi54bWxQSwUG&#10;AAAAAAQABADzAAAAtwUAAAAA&#10;" w14:anchorId="2AC023DF">
              <o:lock v:ext="edit" selection="t" aspectratio="t"/>
            </v:rect>
          </w:pict>
        </mc:Fallback>
      </mc:AlternateContent>
    </w:r>
    <w:r>
      <w:rPr>
        <w:noProof/>
      </w:rPr>
      <w:drawing>
        <wp:anchor distT="0" distB="0" distL="114300" distR="114300" simplePos="0" relativeHeight="251664384" behindDoc="1" locked="0" layoutInCell="0" allowOverlap="1" wp14:anchorId="32AFE795" wp14:editId="2154033E">
          <wp:simplePos x="0" y="0"/>
          <wp:positionH relativeFrom="page">
            <wp:align>left</wp:align>
          </wp:positionH>
          <wp:positionV relativeFrom="page">
            <wp:align>top</wp:align>
          </wp:positionV>
          <wp:extent cx="6120765" cy="5655310"/>
          <wp:effectExtent l="0" t="0" r="0" b="2540"/>
          <wp:wrapNone/>
          <wp:docPr id="56" name="Picture 56"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a:noFill/>
                </pic:spPr>
              </pic:pic>
            </a:graphicData>
          </a:graphic>
          <wp14:sizeRelH relativeFrom="page">
            <wp14:pctWidth>0</wp14:pctWidth>
          </wp14:sizeRelH>
          <wp14:sizeRelV relativeFrom="page">
            <wp14:pctHeight>0</wp14:pctHeight>
          </wp14:sizeRelV>
        </wp:anchor>
      </w:drawing>
    </w:r>
  </w:p>
  <w:p w14:paraId="3E08EC32" w14:textId="77777777" w:rsidR="008C2CFE" w:rsidRDefault="008C2CFE"/>
  <w:p w14:paraId="775A1D71" w14:textId="77777777" w:rsidR="008C2CFE" w:rsidRDefault="008C2CFE">
    <w:pPr>
      <w:pStyle w:val="Header"/>
    </w:pPr>
    <w:r>
      <w:rPr>
        <w:noProof/>
      </w:rPr>
      <mc:AlternateContent>
        <mc:Choice Requires="wps">
          <w:drawing>
            <wp:anchor distT="0" distB="0" distL="114300" distR="114300" simplePos="0" relativeHeight="251668480" behindDoc="0" locked="0" layoutInCell="1" allowOverlap="1" wp14:anchorId="2F0D1945" wp14:editId="248F4B4D">
              <wp:simplePos x="0" y="0"/>
              <wp:positionH relativeFrom="column">
                <wp:posOffset>0</wp:posOffset>
              </wp:positionH>
              <wp:positionV relativeFrom="paragraph">
                <wp:posOffset>0</wp:posOffset>
              </wp:positionV>
              <wp:extent cx="635000" cy="635000"/>
              <wp:effectExtent l="0" t="0" r="3175" b="3175"/>
              <wp:wrapNone/>
              <wp:docPr id="5" name="Rectangl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5"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CAVwIAAKwEAAAOAAAAZHJzL2Uyb0RvYy54bWysVNuO2jAQfa/Uf7D8DknYwO5GhBUiUFXa&#10;tqvSfoBxHGI1sd2xIdBV/71jByjbfamq8mA8F5+5nJlMHw5tQ/YCrNQqp8kwpkQorkuptjn9+mU1&#10;uKPEOqZK1mglcnoUlj7M3r6ZdiYTI13rphRAEETZrDM5rZ0zWRRZXouW2aE2QqGx0tAyhyJsoxJY&#10;h+htE43ieBJ1GkoDmgtrUVv0RjoL+FUluPtUVVY40uQUc3PhhHBu/BnNpizbAjO15Kc02D9k0TKp&#10;MOgFqmCOkR3IV1Ct5KCtrtyQ6zbSVSW5CDVgNUn8RzXrmhkRasHmWHNpk/1/sPzj/gmILHM6pkSx&#10;Fin6jE1jatsIgqpalqXwzPpOdcZm+GBtnsDXas2j5t8sUXotGnzkvVBY1PhazK15pQLQXS1YifkH&#10;vOgFoBcsQpNN90GXmAjbOR2aeqig9QGxXeQQuDteuBMHRzgqJzfjOEaGOZpOd8w4Ytn5sQHr3gnd&#10;En/JKWB2AZztH63rXc8uPpbSK9k0YTwwBLp4pQ8WWH2+j++Xd8u7dJCOJstBGhfFYL5apIPJKrkd&#10;FzfFYlEkPz1+kmZ9Dz3cecKS9O8YPM16PxuXGbO6kaWH8ylZ2G4WDZA9wwlfhZ+nCgu/cotephHM&#10;WMv5P1QXyPD973ne6PKIXIDGXmFbccXxUmv4QUmH65JT+33HQFDSvFfI532Spn6/gpCOb0cowLVl&#10;c21hiiNUTh0l/XXh+p3cGZDbGiMlgRul5zgDlQz8+Pnos8K8vYArESo4ra/fuWs5eP3+yMx+A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JgHkIBXAgAArAQAAA4AAAAAAAAAAAAAAAAALgIAAGRycy9lMm9Eb2MueG1sUEsBAi0AFAAG&#10;AAgAAAAhAIZbh9XYAAAABQEAAA8AAAAAAAAAAAAAAAAAsQQAAGRycy9kb3ducmV2LnhtbFBLBQYA&#10;AAAABAAEAPMAAAC2BQAAAAA=&#10;" w14:anchorId="0A4E1FA7">
              <o:lock v:ext="edit" selection="t" aspectratio="t"/>
            </v:rect>
          </w:pict>
        </mc:Fallback>
      </mc:AlternateContent>
    </w:r>
    <w:r>
      <w:rPr>
        <w:noProof/>
      </w:rPr>
      <mc:AlternateContent>
        <mc:Choice Requires="wps">
          <w:drawing>
            <wp:anchor distT="0" distB="0" distL="114300" distR="114300" simplePos="0" relativeHeight="251663360" behindDoc="0" locked="0" layoutInCell="1" allowOverlap="1" wp14:anchorId="28489DA5" wp14:editId="04D48029">
              <wp:simplePos x="0" y="0"/>
              <wp:positionH relativeFrom="column">
                <wp:posOffset>0</wp:posOffset>
              </wp:positionH>
              <wp:positionV relativeFrom="paragraph">
                <wp:posOffset>0</wp:posOffset>
              </wp:positionV>
              <wp:extent cx="635000" cy="635000"/>
              <wp:effectExtent l="0" t="0" r="3175" b="3175"/>
              <wp:wrapNone/>
              <wp:docPr id="4" name="Rectangle 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4"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NG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XPOTOi&#10;J4o+UdOEWXeKkarVda0Cs6FTg3UFPXi0DxhqdfYe5FfHDDyqjh4FLxIWLb1Wt86+UCHC0CpRU/4R&#10;L3kGGARH0Gw1vIeaEhEbD7Gpuwb7EJDaxXaRu6cjd2rnmSTl7PwiTYlhSab9nTJORHF4bNH5twp6&#10;Fi4lR8ougovtvfOj68ElxDKw1F0Xx4NCkEtQhmCR1R9X6dXd5d1lPsmns7tJnlbV5Ha5yCezZfbm&#10;ojqvFosq+xnws7wYexjgDhOW5X/H4H7Wx9k4zpiDTtcBLqTkcL1adMi2giZ8GX+BKir8xC15nkY0&#10;Uy2H/1hdJCP0f+R5BfUTcYFAvaK20orTpQX8ztlA61Jy920jUHHWvTPE51WW52G/opBfvJmSgKeW&#10;1alFGElQJfecjdeFH3dyY1GvW4qURW4M3NIMNDryE+ZjzIryDgKtRKxgv75h507l6PX7IzP/B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HQzA0ZXAgAArAQAAA4AAAAAAAAAAAAAAAAALgIAAGRycy9lMm9Eb2MueG1sUEsBAi0AFAAG&#10;AAgAAAAhAIZbh9XYAAAABQEAAA8AAAAAAAAAAAAAAAAAsQQAAGRycy9kb3ducmV2LnhtbFBLBQYA&#10;AAAABAAEAPMAAAC2BQAAAAA=&#10;" w14:anchorId="49293B58">
              <o:lock v:ext="edit" selection="t" aspectratio="t"/>
            </v:rect>
          </w:pict>
        </mc:Fallback>
      </mc:AlternateContent>
    </w:r>
  </w:p>
  <w:p w14:paraId="57287734" w14:textId="77777777" w:rsidR="008C2CFE" w:rsidRDefault="008C2CFE"/>
  <w:p w14:paraId="4671E92C" w14:textId="77777777" w:rsidR="008C2CFE" w:rsidRDefault="008C2CFE">
    <w:pPr>
      <w:pStyle w:val="Header"/>
    </w:pPr>
    <w:r>
      <w:rPr>
        <w:noProof/>
      </w:rPr>
      <mc:AlternateContent>
        <mc:Choice Requires="wps">
          <w:drawing>
            <wp:anchor distT="0" distB="0" distL="114300" distR="114300" simplePos="0" relativeHeight="251651072" behindDoc="0" locked="0" layoutInCell="1" allowOverlap="1" wp14:anchorId="674567BA" wp14:editId="6CA94BAB">
              <wp:simplePos x="0" y="0"/>
              <wp:positionH relativeFrom="column">
                <wp:posOffset>0</wp:posOffset>
              </wp:positionH>
              <wp:positionV relativeFrom="paragraph">
                <wp:posOffset>0</wp:posOffset>
              </wp:positionV>
              <wp:extent cx="635000" cy="635000"/>
              <wp:effectExtent l="0" t="0" r="3175" b="3175"/>
              <wp:wrapNone/>
              <wp:docPr id="16" name="Rectangle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1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bz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TdjDMj&#10;euLoE3VNmHWnWNC1uq5V4Db0arCuoCeP9gFDtc7eg/zqmIFH1dGr4EXCoqXn6tbZFypEGFolaqog&#10;4iXPAIPgCJqthvdQUyZi4yG2dddgHwJSw9gusvd0ZE/tPJOknJ1fpClxLMm0v1PGiSgOjy06/1ZB&#10;z8Kl5EjZRXCxvXd+dD24hFgGlrrr4oBQCHIJyhAs8vrjKr26u7y7zCf5dHY3ydOqmtwuF/lktsze&#10;XFTn1WJRZT8DfpYXYw8D3GHGsvzvONxP+zgdxylz0Ok6wIWUHK5Xiw7ZVtCML+MvUEWFn7glz9OI&#10;Zqrl8B+ri2SE/o88r6B+Ii4QqFfUVlpyurSA3zkbaGFK7r5tBCrOuneG+LzK8jxsWBTyizdTEvDU&#10;sjq1CCMJquSes/G68ONWbizqdUuRssiNgVuagUZHfsJ8jFlR3kGgpYgV7Bc4bN2pHL1+f2bmv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brfbzWAIAAK4EAAAOAAAAAAAAAAAAAAAAAC4CAABkcnMvZTJvRG9jLnhtbFBLAQItABQA&#10;BgAIAAAAIQCGW4fV2AAAAAUBAAAPAAAAAAAAAAAAAAAAALIEAABkcnMvZG93bnJldi54bWxQSwUG&#10;AAAAAAQABADzAAAAtwUAAAAA&#10;" w14:anchorId="54C48F0B">
              <o:lock v:ext="edit" selection="t" aspectratio="t"/>
            </v:rect>
          </w:pict>
        </mc:Fallback>
      </mc:AlternateContent>
    </w:r>
    <w:r>
      <w:rPr>
        <w:noProof/>
      </w:rPr>
      <w:drawing>
        <wp:anchor distT="0" distB="0" distL="114300" distR="114300" simplePos="0" relativeHeight="251657216" behindDoc="1" locked="0" layoutInCell="0" allowOverlap="1" wp14:anchorId="35C8DE0D" wp14:editId="75FB672B">
          <wp:simplePos x="0" y="0"/>
          <wp:positionH relativeFrom="page">
            <wp:align>left</wp:align>
          </wp:positionH>
          <wp:positionV relativeFrom="page">
            <wp:align>top</wp:align>
          </wp:positionV>
          <wp:extent cx="6629400" cy="6125210"/>
          <wp:effectExtent l="0" t="0" r="0" b="8890"/>
          <wp:wrapNone/>
          <wp:docPr id="57" name="Picture 57"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x4j-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29400" cy="6125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48B1E3A4" wp14:editId="6B76F0B4">
              <wp:simplePos x="0" y="0"/>
              <wp:positionH relativeFrom="column">
                <wp:posOffset>0</wp:posOffset>
              </wp:positionH>
              <wp:positionV relativeFrom="paragraph">
                <wp:posOffset>0</wp:posOffset>
              </wp:positionV>
              <wp:extent cx="635000" cy="635000"/>
              <wp:effectExtent l="0" t="0" r="3175" b="3175"/>
              <wp:wrapNone/>
              <wp:docPr id="3" name="Rectangl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3"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2l6WA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58yI&#10;nij6RE0TZt0pRqpW17UKzIZODdYV9ODRPmCo1dl7kF8dM/CoOnoUvEhYtPRa3Tr7QoUIQ6tETflH&#10;vOQZYBAcQbPV8B5qSkRsPMSm7hrsQ0BqF9tF7p6O3KmdZ5KUs/OLNCWGJZn2d8o4EcXhsUXn3yro&#10;WbiUHCm7CC62986PrgeXEMvAUnddHA8KQS5BGYJFVn9cpVd3l3eX+SSfzu4meVpVk9vlIp/Mltmb&#10;i+q8Wiyq7GfAz/Ji7GGAO0xYlv8dg/tZH2fjOGMOOl0HuJCSw/Vq0SHbCprwZfwFqqjwE7fkeRrR&#10;TLUc/mN1kYzQ/5HnFdRPxAUC9YraSitOlxbwO2cDrUvJ3beNQMVZ984Qn1dZnof9ikJ+8WZKAp5a&#10;VqcWYSRBldxzNl4XftzJjUW9bilSFrkxcEsz0OjIT5iPMSvKOwi0ErGC/fqGnTuVo9fvj8z8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zt2l6WAIAAKwEAAAOAAAAAAAAAAAAAAAAAC4CAABkcnMvZTJvRG9jLnhtbFBLAQItABQA&#10;BgAIAAAAIQCGW4fV2AAAAAUBAAAPAAAAAAAAAAAAAAAAALIEAABkcnMvZG93bnJldi54bWxQSwUG&#10;AAAAAAQABADzAAAAtwUAAAAA&#10;" w14:anchorId="047C0FDA">
              <o:lock v:ext="edit" selection="t" aspectratio="t"/>
            </v:rect>
          </w:pict>
        </mc:Fallback>
      </mc:AlternateContent>
    </w:r>
  </w:p>
  <w:p w14:paraId="1B0B0A50" w14:textId="77777777" w:rsidR="008C2CFE" w:rsidRDefault="008C2CFE"/>
  <w:p w14:paraId="119763ED" w14:textId="77777777" w:rsidR="008C2CFE" w:rsidRDefault="008C2CFE">
    <w:pPr>
      <w:pStyle w:val="Header"/>
    </w:pPr>
    <w:r>
      <w:rPr>
        <w:noProof/>
      </w:rPr>
      <mc:AlternateContent>
        <mc:Choice Requires="wps">
          <w:drawing>
            <wp:anchor distT="0" distB="0" distL="114300" distR="114300" simplePos="0" relativeHeight="251652096" behindDoc="0" locked="0" layoutInCell="1" allowOverlap="1" wp14:anchorId="4CFD1955" wp14:editId="24C1BA1B">
              <wp:simplePos x="0" y="0"/>
              <wp:positionH relativeFrom="column">
                <wp:posOffset>0</wp:posOffset>
              </wp:positionH>
              <wp:positionV relativeFrom="paragraph">
                <wp:posOffset>0</wp:posOffset>
              </wp:positionV>
              <wp:extent cx="635000" cy="635000"/>
              <wp:effectExtent l="0" t="0" r="3175" b="3175"/>
              <wp:wrapNone/>
              <wp:docPr id="14" name="Rectangle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14"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M8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zpkR&#10;PXH0ibomzLpTLOhaXdcqcBt6NVhX0JNH+4ChWmfvQX51zMCj6uhV8CJh0dJzdevsCxUiDK0SNVUQ&#10;8ZJngEFwBM1Ww3uoKROx8RDbumuwDwGpYWwX2Xs6sqd2nklSzs4v0pQ4lmTa3ynjRBSHxxadf6ug&#10;Z+FScqTsIrjY3js/uh5cQiwDS911cUAoBLkEZQgWef1xlV7dXd5d5pN8Orub5GlVTW6Xi3wyW2Zv&#10;LqrzarGosp8BP8uLsYcB7jBjWf53HO6nfZyO45Q56HQd4EJKDterRYdsK2jGl/EXqKLCT9yS52lE&#10;M9Vy+I/VRTJC/0eeV1A/ERcI1CtqKy05XVrA75wNtDAld982AhVn3TtDfF5leR42LAr5xZspCXhq&#10;WZ1ahJEEVXLP2Xhd+HErNxb1uqVIWeTGwC3NQKMjP2E+xqwo7yDQUsQK9gsctu5Ujl6/PzP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4RtM8WAIAAK4EAAAOAAAAAAAAAAAAAAAAAC4CAABkcnMvZTJvRG9jLnhtbFBLAQItABQA&#10;BgAIAAAAIQCGW4fV2AAAAAUBAAAPAAAAAAAAAAAAAAAAALIEAABkcnMvZG93bnJldi54bWxQSwUG&#10;AAAAAAQABADzAAAAtwUAAAAA&#10;" w14:anchorId="345F12D0">
              <o:lock v:ext="edit" selection="t" aspectratio="t"/>
            </v:rect>
          </w:pict>
        </mc:Fallback>
      </mc:AlternateContent>
    </w:r>
    <w:r>
      <w:rPr>
        <w:noProof/>
      </w:rPr>
      <w:drawing>
        <wp:anchor distT="0" distB="0" distL="114300" distR="114300" simplePos="0" relativeHeight="251656192" behindDoc="1" locked="0" layoutInCell="0" allowOverlap="1" wp14:anchorId="370D6AB0" wp14:editId="18C2A35A">
          <wp:simplePos x="0" y="0"/>
          <wp:positionH relativeFrom="page">
            <wp:align>left</wp:align>
          </wp:positionH>
          <wp:positionV relativeFrom="page">
            <wp:align>top</wp:align>
          </wp:positionV>
          <wp:extent cx="6629400" cy="6125210"/>
          <wp:effectExtent l="0" t="0" r="0" b="8890"/>
          <wp:wrapNone/>
          <wp:docPr id="58" name="Picture 58"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x4j-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29400" cy="6125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12BCC" w14:textId="77777777" w:rsidR="008C2CFE" w:rsidRDefault="008C2CFE"/>
  <w:p w14:paraId="145A33DD" w14:textId="77777777" w:rsidR="008C2CFE" w:rsidRDefault="008C2CFE">
    <w:pPr>
      <w:pStyle w:val="Header"/>
    </w:pPr>
    <w:r>
      <w:rPr>
        <w:noProof/>
      </w:rPr>
      <mc:AlternateContent>
        <mc:Choice Requires="wps">
          <w:drawing>
            <wp:anchor distT="0" distB="0" distL="114300" distR="114300" simplePos="0" relativeHeight="251653120" behindDoc="0" locked="0" layoutInCell="1" allowOverlap="1" wp14:anchorId="7E017D1F" wp14:editId="1A2A0EC4">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12"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y2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TdlDMj&#10;euLoE3VNmHWnWNC1uq5V4Db0arCuoCeP9gFDtc7eg/zqmIFH1dGr4EXCoqXn6tbZFypEGFolaqog&#10;4iXPAIPgCJqthvdQUyZi4yG2dddgHwJSw9gusvd0ZE/tPJOknJ1fpClxLMm0v1PGiSgOjy06/1ZB&#10;z8Kl5EjZRXCxvXd+dD24hFgGlrrr4oBQCHIJyhAs8vrjKr26u7y7zCf5dHY3ydOqmtwuF/lktsze&#10;XFTn1WJRZT8DfpYXYw8D3GHGsvzvONxP+zgdxylz0Ok6wIWUHK5Xiw7ZVtCML+MvUEWFn7glz9OI&#10;Zqrl8B+ri2SE/o88r6B+Ii4QqFfUVlpyurSA3zkbaGFK7r5tBCrOuneG+LzK8jxsWBTyizdTEvDU&#10;sjq1CCMJquSes/G68ONWbizqdUuRssiNgVuagUZHfsJ8jFlR3kGgpYgV7Bc4bN2pHL1+f2bmv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cfcy2WAIAAK4EAAAOAAAAAAAAAAAAAAAAAC4CAABkcnMvZTJvRG9jLnhtbFBLAQItABQA&#10;BgAIAAAAIQCGW4fV2AAAAAUBAAAPAAAAAAAAAAAAAAAAALIEAABkcnMvZG93bnJldi54bWxQSwUG&#10;AAAAAAQABADzAAAAtwUAAAAA&#10;" w14:anchorId="5DF4F871">
              <o:lock v:ext="edit" selection="t" aspectratio="t"/>
            </v:rect>
          </w:pict>
        </mc:Fallback>
      </mc:AlternateContent>
    </w:r>
    <w:r>
      <w:rPr>
        <w:noProof/>
      </w:rPr>
      <w:drawing>
        <wp:anchor distT="0" distB="0" distL="114300" distR="114300" simplePos="0" relativeHeight="251655168" behindDoc="1" locked="0" layoutInCell="0" allowOverlap="1" wp14:anchorId="5A853C75" wp14:editId="446D4ABE">
          <wp:simplePos x="0" y="0"/>
          <wp:positionH relativeFrom="page">
            <wp:align>left</wp:align>
          </wp:positionH>
          <wp:positionV relativeFrom="page">
            <wp:align>top</wp:align>
          </wp:positionV>
          <wp:extent cx="6629400" cy="6125210"/>
          <wp:effectExtent l="0" t="0" r="0" b="8890"/>
          <wp:wrapNone/>
          <wp:docPr id="59" name="Picture 59"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x4j-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29400" cy="6125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45769" w14:textId="77777777" w:rsidR="008C2CFE" w:rsidRDefault="008C2CFE"/>
  <w:p w14:paraId="671A44D6" w14:textId="77777777" w:rsidR="008C2CFE" w:rsidRDefault="008C2CFE">
    <w:pPr>
      <w:pStyle w:val="Header"/>
    </w:pPr>
    <w:r>
      <w:rPr>
        <w:noProof/>
      </w:rPr>
      <mc:AlternateContent>
        <mc:Choice Requires="wps">
          <w:drawing>
            <wp:anchor distT="0" distB="0" distL="114300" distR="114300" simplePos="0" relativeHeight="251632640" behindDoc="0" locked="0" layoutInCell="1" allowOverlap="1" wp14:anchorId="2FD926A1" wp14:editId="38ABAC88">
              <wp:simplePos x="0" y="0"/>
              <wp:positionH relativeFrom="column">
                <wp:posOffset>0</wp:posOffset>
              </wp:positionH>
              <wp:positionV relativeFrom="paragraph">
                <wp:posOffset>0</wp:posOffset>
              </wp:positionV>
              <wp:extent cx="635000" cy="635000"/>
              <wp:effectExtent l="0" t="0" r="3175" b="3175"/>
              <wp:wrapNone/>
              <wp:docPr id="86" name="Rectangle 8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8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aTWAIAAK4EAAAOAAAAZHJzL2Uyb0RvYy54bWysVNuO2jAQfa/Uf7D8DknYwLIRYYUIVJW2&#10;7arbfoBxHGI1sd2xIdBV/71jByjbfamq8mA8F5+5nJnM7g9tQ/YCrNQqp8kwpkQorkuptjn9+mU9&#10;mFJiHVMla7QSOT0KS+/nb9/MOpOJka51UwogCKJs1pmc1s6ZLIosr0XL7FAbodBYaWiZQxG2UQms&#10;Q/S2iUZxPIk6DaUBzYW1qC16I50H/KoS3H2qKiscaXKKublwQjg3/ozmM5ZtgZla8lMa7B+yaJlU&#10;GPQCVTDHyA7kK6hWctBWV27IdRvpqpJchBqwmiT+o5qnmhkRasHmWHNpk/1/sPzj/hGILHM6nVCi&#10;WIscfcauMbVtBPG6Wpal8Nz6XnXGZvjkyTyCr9aaB82/WaL0k2jwlfdCYVnjc7Gw5pUKQHe1YCVW&#10;EPCiF4BesAhNNt0HXWImbOd0aOuhgtYHxIaRQ2DveGFPHBzhqJzcjOMYOeZoOt0x44hl58cGrHsn&#10;dEv8JaeA2QVwtn+wrnc9u/hYSq9l04QBwRDo4pU+WOD1+S6+W01X03SQjiarQRoXxWCxXqaDyTq5&#10;HRc3xXJZJD89fpJmfQ893HnGkvTvODxNez8dlymzupGlh/MpWdhulg2QPcMZX4efpwoLv3KLXqYR&#10;zFjL+T9UF8jw/e953ujyiFyAxl5hW3HJ8VJr+EFJhwuTU/t9x0BQ0rxXyOddkqZ+w4KQjm9HKMC1&#10;ZXNtYYojVE4dJf116fqt3BmQ2xojJYEbpRc4A5UM/Pj56LPCvL2ASxEqOC2w37prOXj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ZfEaTWAIAAK4EAAAOAAAAAAAAAAAAAAAAAC4CAABkcnMvZTJvRG9jLnhtbFBLAQItABQA&#10;BgAIAAAAIQCGW4fV2AAAAAUBAAAPAAAAAAAAAAAAAAAAALIEAABkcnMvZG93bnJldi54bWxQSwUG&#10;AAAAAAQABADzAAAAtwUAAAAA&#10;" w14:anchorId="46BA2384">
              <o:lock v:ext="edit" selection="t" aspectratio="t"/>
            </v:rect>
          </w:pict>
        </mc:Fallback>
      </mc:AlternateContent>
    </w:r>
    <w:r>
      <w:rPr>
        <w:noProof/>
      </w:rPr>
      <w:drawing>
        <wp:anchor distT="0" distB="0" distL="114300" distR="114300" simplePos="0" relativeHeight="251645952" behindDoc="1" locked="0" layoutInCell="0" allowOverlap="1" wp14:anchorId="2D06A02B" wp14:editId="723B6563">
          <wp:simplePos x="0" y="0"/>
          <wp:positionH relativeFrom="page">
            <wp:align>left</wp:align>
          </wp:positionH>
          <wp:positionV relativeFrom="page">
            <wp:align>top</wp:align>
          </wp:positionV>
          <wp:extent cx="6120765" cy="5655310"/>
          <wp:effectExtent l="0" t="0" r="0" b="2540"/>
          <wp:wrapNone/>
          <wp:docPr id="60" name="Picture 60"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ocx4j-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6BAD8A03" wp14:editId="7B948973">
              <wp:simplePos x="0" y="0"/>
              <wp:positionH relativeFrom="column">
                <wp:posOffset>0</wp:posOffset>
              </wp:positionH>
              <wp:positionV relativeFrom="paragraph">
                <wp:posOffset>0</wp:posOffset>
              </wp:positionV>
              <wp:extent cx="635000" cy="635000"/>
              <wp:effectExtent l="0" t="0" r="3175" b="3175"/>
              <wp:wrapNone/>
              <wp:docPr id="10" name="Rectangle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10"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5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QdtceI&#10;njj6RF0TZt0pFnStrmsVuA29Gqwr6MmjfcBQrbP3IL86ZuBRdfQqeJGwaOm5unX2hQoRhlaJmiqI&#10;eMkzwCA4gmar4T3UlInYeIht3TXYh4DUMLaL7D0d2VM7zyQpZ+cXaUoJSzLt75RxIorDY4vOv1XQ&#10;s3ApOVJ2EVxs750fXQ8uIZaBpe66OCAUglyCMgSLvP64Sq/uLu8u80k+nd1N8rSqJrfLRT6ZLbM3&#10;F9V5tVhU2c+An+XF2MMAd5ixLP87DvfTPk7HccocdLoOcCElh+vVokO2FTTjy/gLVFHhJ27J8zSi&#10;mWo5/MfqIhmh/yPPK6ifiAsE6hW1lZacLi3gd84GWpiSu28bgYqz7p0hPq+yPCc3H4X84s2UBDy1&#10;rE4twkiCKrnnbLwu/LiVG4t63VKkLHJj4JZmoNGRnzAfY1aUdxBoKWIF+wUOW3cqR6/fn5n5L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lul5WAIAAK4EAAAOAAAAAAAAAAAAAAAAAC4CAABkcnMvZTJvRG9jLnhtbFBLAQItABQA&#10;BgAIAAAAIQCGW4fV2AAAAAUBAAAPAAAAAAAAAAAAAAAAALIEAABkcnMvZG93bnJldi54bWxQSwUG&#10;AAAAAAQABADzAAAAtwUAAAAA&#10;" w14:anchorId="3EB3628E">
              <o:lock v:ext="edit" selection="t" aspectratio="t"/>
            </v:rect>
          </w:pict>
        </mc:Fallback>
      </mc:AlternateContent>
    </w:r>
  </w:p>
  <w:p w14:paraId="75CFC2F2" w14:textId="77777777" w:rsidR="008C2CFE" w:rsidRDefault="008C2CFE"/>
  <w:p w14:paraId="3E76ABC2" w14:textId="77777777" w:rsidR="008C2CFE" w:rsidRDefault="008C2CFE">
    <w:pPr>
      <w:pStyle w:val="Header"/>
    </w:pPr>
    <w:r>
      <w:rPr>
        <w:noProof/>
      </w:rPr>
      <mc:AlternateContent>
        <mc:Choice Requires="wps">
          <w:drawing>
            <wp:anchor distT="0" distB="0" distL="114300" distR="114300" simplePos="0" relativeHeight="251633664" behindDoc="0" locked="0" layoutInCell="1" allowOverlap="1" wp14:anchorId="0C6A046E" wp14:editId="5A38A8FB">
              <wp:simplePos x="0" y="0"/>
              <wp:positionH relativeFrom="column">
                <wp:posOffset>0</wp:posOffset>
              </wp:positionH>
              <wp:positionV relativeFrom="paragraph">
                <wp:posOffset>0</wp:posOffset>
              </wp:positionV>
              <wp:extent cx="635000" cy="635000"/>
              <wp:effectExtent l="0" t="0" r="3175" b="3175"/>
              <wp:wrapNone/>
              <wp:docPr id="84" name="Rectangle 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84"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2NcWAIAAK4EAAAOAAAAZHJzL2Uyb0RvYy54bWysVNuO2jAQfa/Uf7D8DknYwLIRYYUIVJW2&#10;7arbfoBxHGI1sd2xIdBV/71jByjbfamq8mA8F5+5nJnM7g9tQ/YCrNQqp8kwpkQorkuptjn9+mU9&#10;mFJiHVMla7QSOT0KS+/nb9/MOpOJka51UwogCKJs1pmc1s6ZLIosr0XL7FAbodBYaWiZQxG2UQms&#10;Q/S2iUZxPIk6DaUBzYW1qC16I50H/KoS3H2qKiscaXKKublwQjg3/ozmM5ZtgZla8lMa7B+yaJlU&#10;GPQCVTDHyA7kK6hWctBWV27IdRvpqpJchBqwmiT+o5qnmhkRasHmWHNpk/1/sPzj/hGILHM6TSlR&#10;rEWOPmPXmNo2gnhdLctSeG59rzpjM3zyZB7BV2vNg+bfLFH6STT4ynuhsKzxuVhY80oFoLtasBIr&#10;CHjRC0AvWIQmm+6DLjETtnM6tPVQQesDYsPIIbB3vLAnDo5wVE5uxnGMHHM0ne6YccSy82MD1r0T&#10;uiX+klPA7AI42z9Y17ueXXwspdeyacKAYAh08UofLPD6fBffraaraTpIR5PVII2LYrBYL9PBZJ3c&#10;joubYrkskp8eP0mzvoce7jxjSfp3HJ6mvZ+Oy5RZ3cjSw/mULGw3ywbInuGMr8PPU4WFX7lFL9MI&#10;Zqzl/B+qC2T4/vc8b3R5RC5AY6+wrbjkeKk1/KCkw4XJqf2+YyAoad4r5PMuSVO/YUFIx7cjFODa&#10;srm2MMURKqeOkv66dP1W7gzIbY2RksCN0gucgUoGfvx89Flh3l7ApQgVnBbYb921HLx+f2bmv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6l2NcWAIAAK4EAAAOAAAAAAAAAAAAAAAAAC4CAABkcnMvZTJvRG9jLnhtbFBLAQItABQA&#10;BgAIAAAAIQCGW4fV2AAAAAUBAAAPAAAAAAAAAAAAAAAAALIEAABkcnMvZG93bnJldi54bWxQSwUG&#10;AAAAAAQABADzAAAAtwUAAAAA&#10;" w14:anchorId="2E140E5D">
              <o:lock v:ext="edit" selection="t" aspectratio="t"/>
            </v:rect>
          </w:pict>
        </mc:Fallback>
      </mc:AlternateContent>
    </w:r>
    <w:r>
      <w:rPr>
        <w:noProof/>
      </w:rPr>
      <w:drawing>
        <wp:anchor distT="0" distB="0" distL="114300" distR="114300" simplePos="0" relativeHeight="251644928" behindDoc="1" locked="0" layoutInCell="0" allowOverlap="1" wp14:anchorId="4AB787CA" wp14:editId="7DE12BB8">
          <wp:simplePos x="0" y="0"/>
          <wp:positionH relativeFrom="page">
            <wp:align>left</wp:align>
          </wp:positionH>
          <wp:positionV relativeFrom="page">
            <wp:align>top</wp:align>
          </wp:positionV>
          <wp:extent cx="6120765" cy="5655310"/>
          <wp:effectExtent l="0" t="0" r="0" b="2540"/>
          <wp:wrapNone/>
          <wp:docPr id="61" name="Picture 61"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ocx4j-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69A81667" w14:textId="77777777" w:rsidR="008C2CFE" w:rsidRDefault="008C2CFE"/>
  <w:p w14:paraId="707060F4" w14:textId="77777777" w:rsidR="008C2CFE" w:rsidRDefault="008C2CFE">
    <w:pPr>
      <w:pStyle w:val="Header"/>
    </w:pPr>
    <w:r>
      <w:rPr>
        <w:noProof/>
      </w:rPr>
      <mc:AlternateContent>
        <mc:Choice Requires="wps">
          <w:drawing>
            <wp:anchor distT="0" distB="0" distL="114300" distR="114300" simplePos="0" relativeHeight="251634688" behindDoc="0" locked="0" layoutInCell="1" allowOverlap="1" wp14:anchorId="42571BCB" wp14:editId="22D20E98">
              <wp:simplePos x="0" y="0"/>
              <wp:positionH relativeFrom="column">
                <wp:posOffset>0</wp:posOffset>
              </wp:positionH>
              <wp:positionV relativeFrom="paragraph">
                <wp:posOffset>0</wp:posOffset>
              </wp:positionV>
              <wp:extent cx="635000" cy="635000"/>
              <wp:effectExtent l="0" t="0" r="3175" b="3175"/>
              <wp:wrapNone/>
              <wp:docPr id="82" name="Rectangle 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82"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zWWAIAAK4EAAAOAAAAZHJzL2Uyb0RvYy54bWysVNuO2jAQfa/Uf7D8DknYwLIRYYUIVJW2&#10;7arbfoBxHGI18bi2IdBV/71jByjbfamq8mA8F5+5nJnM7g9tQ/bCWAkqp8kwpkQoDqVU25x+/bIe&#10;TCmxjqmSNaBETo/C0vv52zezTmdiBDU0pTAEQZTNOp3T2jmdRZHltWiZHYIWCo0VmJY5FM02Kg3r&#10;EL1tolEcT6IOTKkNcGEtaoveSOcBv6oEd5+qygpHmpxibi6cJpwbf0bzGcu2hula8lMa7B+yaJlU&#10;GPQCVTDHyM7IV1Ct5AYsVG7IoY2gqiQXoQasJon/qOapZlqEWrA5Vl/aZP8fLP+4fzREljmdjihR&#10;rEWOPmPXmNo2gnhdLctSeG59rzptM3zypB+Nr9bqB+DfLFHwJBp85b1QWNb4XCysfqUyBrpasBIr&#10;CHjRC0AvWIQmm+4DlJgJ2zkIbT1UpvUBsWHkENg7XtgTB0c4Kic34zhGjjmaTnfMOGLZ+bE21r0T&#10;0BJ/yanB7AI42z9Y17ueXXwsBWvZNGFAMAS6eKUPFnh9vovvVtPVNB2ko8lqkMZFMVisl+lgsk5u&#10;x8VNsVwWyU+Pn6RZ30MPd56xJP07Dk/T3k/HZcosNLL0cD4la7abZWPInuGMr8PPU4WFX7lFL9MI&#10;Zqzl/B+qC2T4/vc8b6A8IhcGsFfYVlxyvNRgflDS4cLk1H7fMSMoad4r5PMuSVO/YUFIx7cjFMy1&#10;ZXNtYYojVE4dJf116fqt3GkjtzVGSgI3ChY4A5UM/Pj56LPCvL2ASxEqOC2w37prOXj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erHzWWAIAAK4EAAAOAAAAAAAAAAAAAAAAAC4CAABkcnMvZTJvRG9jLnhtbFBLAQItABQA&#10;BgAIAAAAIQCGW4fV2AAAAAUBAAAPAAAAAAAAAAAAAAAAALIEAABkcnMvZG93bnJldi54bWxQSwUG&#10;AAAAAAQABADzAAAAtwUAAAAA&#10;" w14:anchorId="0884724E">
              <o:lock v:ext="edit" selection="t" aspectratio="t"/>
            </v:rect>
          </w:pict>
        </mc:Fallback>
      </mc:AlternateContent>
    </w:r>
    <w:r>
      <w:rPr>
        <w:noProof/>
      </w:rPr>
      <w:drawing>
        <wp:anchor distT="0" distB="0" distL="114300" distR="114300" simplePos="0" relativeHeight="251643904" behindDoc="1" locked="0" layoutInCell="0" allowOverlap="1" wp14:anchorId="6F869A82" wp14:editId="19E25D66">
          <wp:simplePos x="0" y="0"/>
          <wp:positionH relativeFrom="page">
            <wp:align>left</wp:align>
          </wp:positionH>
          <wp:positionV relativeFrom="page">
            <wp:align>top</wp:align>
          </wp:positionV>
          <wp:extent cx="6120765" cy="5655310"/>
          <wp:effectExtent l="0" t="0" r="0" b="2540"/>
          <wp:wrapNone/>
          <wp:docPr id="62" name="Picture 62"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cx4j-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765" cy="5655310"/>
                  </a:xfrm>
                  <a:prstGeom prst="rect">
                    <a:avLst/>
                  </a:prstGeom>
                </pic:spPr>
              </pic:pic>
            </a:graphicData>
          </a:graphic>
          <wp14:sizeRelH relativeFrom="page">
            <wp14:pctWidth>0</wp14:pctWidth>
          </wp14:sizeRelH>
          <wp14:sizeRelV relativeFrom="page">
            <wp14:pctHeight>0</wp14:pctHeight>
          </wp14:sizeRelV>
        </wp:anchor>
      </w:drawing>
    </w:r>
  </w:p>
  <w:p w14:paraId="2244744B" w14:textId="77777777" w:rsidR="008C2CFE" w:rsidRDefault="008C2CFE"/>
  <w:p w14:paraId="372E1A44" w14:textId="77777777" w:rsidR="008C2CFE" w:rsidRDefault="008C2CFE">
    <w:pPr>
      <w:pStyle w:val="Header"/>
    </w:pPr>
    <w:r>
      <w:rPr>
        <w:noProof/>
      </w:rPr>
      <mc:AlternateContent>
        <mc:Choice Requires="wps">
          <w:drawing>
            <wp:anchor distT="0" distB="0" distL="114300" distR="114300" simplePos="0" relativeHeight="251637760" behindDoc="0" locked="0" layoutInCell="1" allowOverlap="1" wp14:anchorId="1C25C263" wp14:editId="6F9F0982">
              <wp:simplePos x="0" y="0"/>
              <wp:positionH relativeFrom="column">
                <wp:posOffset>0</wp:posOffset>
              </wp:positionH>
              <wp:positionV relativeFrom="paragraph">
                <wp:posOffset>0</wp:posOffset>
              </wp:positionV>
              <wp:extent cx="635000" cy="635000"/>
              <wp:effectExtent l="0" t="0" r="3175" b="3175"/>
              <wp:wrapNone/>
              <wp:docPr id="80" name="Rectangle 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80"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1kZWAIAAK4EAAAOAAAAZHJzL2Uyb0RvYy54bWysVNuO2jAQfa/Uf7D8DknYwLIRYYUIVJW2&#10;7arbfoBxHGI1sd2xIdBV/71jByjbfamq8mA8F5+5nJnM7g9tQ/YCrNQqp8kwpkQorkuptjn9+mU9&#10;mFJiHVMla7QSOT0KS+/nb9/MOpOJka51UwogCKJs1pmc1s6ZLIosr0XL7FAbodBYaWiZQxG2UQms&#10;Q/S2iUZxPIk6DaUBzYW1qC16I50H/KoS3H2qKiscaXKKublwQjg3/ozmM5ZtgZla8lMa7B+yaJlU&#10;GPQCVTDHyA7kK6hWctBWV27IdRvpqpJchBqwmiT+o5qnmhkRasHmWHNpk/1/sPzj/hGILHM6xfYo&#10;1iJHn7FrTG0bQbyulmUpPLe+V52xGT55Mo/gq7XmQfNvlij9JBp85b1QWNb4XCyseaUC0F0tWIkV&#10;BLzoBaAXLEKTTfdBl5gJ2zkd2nqooPUBsWHkENg7XtgTB0c4Kic34zjGhDmaTnfMOGLZ+bEB694J&#10;3RJ/ySlgdgGc7R+s613PLj6W0mvZNGFAMAS6eKUPFnh9vovvVtPVNB2ko8lqkMZFMVisl+lgsk5u&#10;x8VNsVwWyU+Pn6RZ30MPd56xJP07Dk/T3k/HZcqsbmTp4XxKFrabZQNkz3DG1+HnqcLCr9yil2kE&#10;M9Zy/g/VBTJ8/3ueN7o8IhegsVfYVlxyvNQaflDS4cLk1H7fMRCUNO8V8nmXpCm6uSCk49sRCnBt&#10;2VxbmOIIlVNHSX9dun4rdwbktsZISeBG6QXOQCUDP34++qwwby/gUoQKTgvst+5aDl6/PzP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9R1kZWAIAAK4EAAAOAAAAAAAAAAAAAAAAAC4CAABkcnMvZTJvRG9jLnhtbFBLAQItABQA&#10;BgAIAAAAIQCGW4fV2AAAAAUBAAAPAAAAAAAAAAAAAAAAALIEAABkcnMvZG93bnJldi54bWxQSwUG&#10;AAAAAAQABADzAAAAtwUAAAAA&#10;" w14:anchorId="4914C83F">
              <o:lock v:ext="edit" selection="t" aspectratio="t"/>
            </v:rect>
          </w:pict>
        </mc:Fallback>
      </mc:AlternateContent>
    </w:r>
    <w:r>
      <w:rPr>
        <w:noProof/>
      </w:rPr>
      <mc:AlternateContent>
        <mc:Choice Requires="wps">
          <w:drawing>
            <wp:anchor distT="0" distB="0" distL="114300" distR="114300" simplePos="0" relativeHeight="251635712" behindDoc="0" locked="0" layoutInCell="1" allowOverlap="1" wp14:anchorId="433CAD3F" wp14:editId="09CF2ED2">
              <wp:simplePos x="0" y="0"/>
              <wp:positionH relativeFrom="column">
                <wp:posOffset>0</wp:posOffset>
              </wp:positionH>
              <wp:positionV relativeFrom="paragraph">
                <wp:posOffset>0</wp:posOffset>
              </wp:positionV>
              <wp:extent cx="635000" cy="635000"/>
              <wp:effectExtent l="0" t="0" r="3175" b="3175"/>
              <wp:wrapNone/>
              <wp:docPr id="79" name="Rectangl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79"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veWAIAAK4EAAAOAAAAZHJzL2Uyb0RvYy54bWysVNuO2jAQfa/Uf7D8ziZhAwsRYYUIVJW2&#10;7aq0H2Ach1hNbHdsCNtV/71jByjbfamq8mA8F5+5nJnM7o9tQw4CrNQqp8lNTIlQXJdS7XL69ct6&#10;MKHEOqZK1mglcvokLL2fv30z60wmhrrWTSmAIIiyWWdyWjtnsiiyvBYtszfaCIXGSkPLHIqwi0pg&#10;HaK3TTSM43HUaSgNaC6sRW3RG+k84FeV4O5TVVnhSJNTzM2FE8K59Wc0n7FsB8zUkp/SYP+QRcuk&#10;wqAXqII5RvYgX0G1koO2unI3XLeRrirJRagBq0niP6rZ1MyIUAs2x5pLm+z/g+UfD49AZJnTuykl&#10;irXI0WfsGlO7RhCvq2VZCs+t71VnbIZPNuYRfLXWPGj+zRKlN6LBV94LhWWNz8XCmlcqAN3VgpVY&#10;QcCLXgB6wSI02XYfdImZsL3Toa3HClofEBtGjoG9pwt74ugIR+X4dhTHyDFH0+mOGUcsOz82YN07&#10;oVviLzkFzC6As8ODdb3r2cXHUnotmyYMCIZAF6/0wQKvz9N4upqsJukgHY5XgzQuisFivUwH43Vy&#10;Nypui+WySH56/CTN+h56uPOMJenfcXia9n46LlNmdSNLD+dTsrDbLhsgB4Yzvg4/TxUWfuUWvUwj&#10;mLGW83+oLpDh+9/zvNXlE3IBGnuFbcUlx0ut4QclHS5MTu33PQNBSfNeIZ/TJE39hgUhHd0NUYBr&#10;y/bawhRHqJw6Svrr0vVbuTcgdzVGSgI3Si9wBioZ+PHz0WeFeXsBlyJUcFpgv3XXcvD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6eFveWAIAAK4EAAAOAAAAAAAAAAAAAAAAAC4CAABkcnMvZTJvRG9jLnhtbFBLAQItABQA&#10;BgAIAAAAIQCGW4fV2AAAAAUBAAAPAAAAAAAAAAAAAAAAALIEAABkcnMvZG93bnJldi54bWxQSwUG&#10;AAAAAAQABADzAAAAtwUAAAAA&#10;" w14:anchorId="19031C21">
              <o:lock v:ext="edit" selection="t" aspectratio="t"/>
            </v:rect>
          </w:pict>
        </mc:Fallback>
      </mc:AlternateContent>
    </w:r>
  </w:p>
  <w:p w14:paraId="7EB2854E" w14:textId="77777777" w:rsidR="008C2CFE" w:rsidRDefault="008C2CFE"/>
  <w:p w14:paraId="21B1030A" w14:textId="77777777" w:rsidR="008C2CFE" w:rsidRDefault="008C2CFE">
    <w:pPr>
      <w:pStyle w:val="Header"/>
    </w:pPr>
    <w:r>
      <w:rPr>
        <w:noProof/>
      </w:rPr>
      <mc:AlternateContent>
        <mc:Choice Requires="wps">
          <w:drawing>
            <wp:anchor distT="0" distB="0" distL="114300" distR="114300" simplePos="0" relativeHeight="251639808" behindDoc="0" locked="0" layoutInCell="1" allowOverlap="1" wp14:anchorId="6C43D519" wp14:editId="015323BC">
              <wp:simplePos x="0" y="0"/>
              <wp:positionH relativeFrom="column">
                <wp:posOffset>0</wp:posOffset>
              </wp:positionH>
              <wp:positionV relativeFrom="paragraph">
                <wp:posOffset>0</wp:posOffset>
              </wp:positionV>
              <wp:extent cx="635000" cy="635000"/>
              <wp:effectExtent l="0" t="0" r="3175" b="3175"/>
              <wp:wrapNone/>
              <wp:docPr id="78" name="Rectangle 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78"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FUWA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kpgy&#10;oieOPlHXhFl3igVdq+taBW5DrwbrCnryaB8wVOvsO5BfHTPwqDp6FbxIWLT0XN05+0KFCEOrRE0V&#10;RLzkGWAQHEGz1fAeaspEbDzEtu4a7ENAahjbRfaejuypnWeSlLPzizQljiWZ9nfKOBHF4bFF598o&#10;6Fm4lBwpuwgutu+cH10PLiGWgaXuujggFIJcgjIEi7z+uE6v76/ur/JJPp3dT/K0qiZ3y0U+mS2z&#10;y4vqvFosquxnwM/yYuxhgDvMWJb/HYf7aR+n4zhlDjpdB7iQksP1atEh2wqa8WX8Baqo8BO35Hka&#10;0Uy1HP5jdZGM0P+R5xXUT8QFAvWK2kpLTpcW8DtnAy1Myd23jUDFWffWEJ/XWZ6HDYtCfnE5JQFP&#10;LatTizCSoEruORuvCz9u5caiXrcUKYvcGLij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rDnFUWAIAAK4EAAAOAAAAAAAAAAAAAAAAAC4CAABkcnMvZTJvRG9jLnhtbFBLAQItABQA&#10;BgAIAAAAIQCGW4fV2AAAAAUBAAAPAAAAAAAAAAAAAAAAALIEAABkcnMvZG93bnJldi54bWxQSwUG&#10;AAAAAAQABADzAAAAtwUAAAAA&#10;" w14:anchorId="3872DB0C">
              <o:lock v:ext="edit" selection="t" aspectratio="t"/>
            </v:rect>
          </w:pict>
        </mc:Fallback>
      </mc:AlternateContent>
    </w:r>
    <w:r>
      <w:rPr>
        <w:noProof/>
      </w:rPr>
      <mc:AlternateContent>
        <mc:Choice Requires="wps">
          <w:drawing>
            <wp:anchor distT="0" distB="0" distL="114300" distR="114300" simplePos="0" relativeHeight="251638784" behindDoc="0" locked="0" layoutInCell="1" allowOverlap="1" wp14:anchorId="6D8E9C51" wp14:editId="130FB209">
              <wp:simplePos x="0" y="0"/>
              <wp:positionH relativeFrom="column">
                <wp:posOffset>0</wp:posOffset>
              </wp:positionH>
              <wp:positionV relativeFrom="paragraph">
                <wp:posOffset>0</wp:posOffset>
              </wp:positionV>
              <wp:extent cx="635000" cy="635000"/>
              <wp:effectExtent l="0" t="0" r="3175" b="3175"/>
              <wp:wrapNone/>
              <wp:docPr id="77" name="Rectangl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77"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HeWQIAAK4EAAAOAAAAZHJzL2Uyb0RvYy54bWysVN1u2jAUvp+0d7B8D0logDZqqBCBaVK3&#10;Vev2AMZxEmuJj2cbQlft3XfsAKPrzTSNC+Pz4+/8fOfk9u7QtWQvjJWgcpqMY0qE4lBKVef065fN&#10;6JoS65gqWQtK5PRJWHq3ePvmtteZmEADbSkMQRBls17ntHFOZ1FkeSM6ZseghUJjBaZjDkVTR6Vh&#10;PaJ3bTSJ41nUgym1AS6sRW0xGOki4FeV4O5TVVnhSJtTzM2F04Rz689occuy2jDdSH5Mg/1DFh2T&#10;CoOeoQrmGNkZ+Qqqk9yAhcqNOXQRVJXkItSA1STxH9U8NkyLUAs2x+pzm+z/g+Uf9w+GyDKn8zkl&#10;inXI0WfsGlN1K4jXNbIshefW96rXNsMnj/rB+Gqtvgf+zRIFj6LFV94LhVWDz8XS6lcqY6BvBCux&#10;goAXvQD0gkVosu0/QImZsJ2D0NZDZTofEBtGDoG9pzN74uAIR+XsahrHyDFH0/GOGUcsOz3Wxrp3&#10;AjriLzk1mF0AZ/t76wbXk4uPpWAj2zYMCIZAF6/0wQKvzzfxzfp6fZ2O0slsPUrjohgtN6t0NNsk&#10;82lxVaxWRfLT4ydpNvTQw51mLEn/jsPjtA/TcZ4yC60sPZxPyZp6u2oN2TOc8U34eaqw8Au36GUa&#10;wYy1nP5DdYEM3/+B5y2UT8iFAewVthWXHC8NmB+U9LgwObXfd8wIStr3Cvm8SdLUb1gQ0ul8goK5&#10;tGwvLUxxhMqpo2S4rtywlTttZN1gpCRwo2CJM1DJwI+fjyErzNsLuBShguMC+627lIPX78/M4h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0OIx3lkCAACuBAAADgAAAAAAAAAAAAAAAAAuAgAAZHJzL2Uyb0RvYy54bWxQSwECLQAU&#10;AAYACAAAACEAhluH1dgAAAAFAQAADwAAAAAAAAAAAAAAAACzBAAAZHJzL2Rvd25yZXYueG1sUEsF&#10;BgAAAAAEAAQA8wAAALgFAAAAAA==&#10;" w14:anchorId="4D4F5CEE">
              <o:lock v:ext="edit" selection="t" aspectratio="t"/>
            </v:rect>
          </w:pict>
        </mc:Fallback>
      </mc:AlternateContent>
    </w:r>
  </w:p>
  <w:p w14:paraId="1ECE5A4C" w14:textId="77777777" w:rsidR="008C2CFE" w:rsidRDefault="008C2CFE"/>
  <w:p w14:paraId="6D6AC9E8" w14:textId="77777777" w:rsidR="008C2CFE" w:rsidRDefault="008C2CFE">
    <w:pPr>
      <w:pStyle w:val="Header"/>
    </w:pPr>
    <w:r>
      <w:rPr>
        <w:noProof/>
      </w:rPr>
      <mc:AlternateContent>
        <mc:Choice Requires="wps">
          <w:drawing>
            <wp:anchor distT="0" distB="0" distL="114300" distR="114300" simplePos="0" relativeHeight="251640832" behindDoc="0" locked="0" layoutInCell="1" allowOverlap="1" wp14:anchorId="5C2DC3C8" wp14:editId="62BCB88E">
              <wp:simplePos x="0" y="0"/>
              <wp:positionH relativeFrom="column">
                <wp:posOffset>0</wp:posOffset>
              </wp:positionH>
              <wp:positionV relativeFrom="paragraph">
                <wp:posOffset>0</wp:posOffset>
              </wp:positionV>
              <wp:extent cx="635000" cy="635000"/>
              <wp:effectExtent l="0" t="0" r="3175" b="3175"/>
              <wp:wrapNone/>
              <wp:docPr id="76" name="Rectangle 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7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tU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csaZ&#10;ET1x9Im6Jsy6UyzoWl3XKnAbejVYV9CTR/uAoVpn34H86piBR9XRq+BFwqKl5+rO2RcqRBhaJWqq&#10;IOIlzwCD4AiarYb3UFMmYuMhtnXXYB8CUsPYLrL3dGRP7TyTpJydX6QpcSzJtL9TxokoDo8tOv9G&#10;Qc/CpeRI2UVwsX3n/Oh6cAmxDCx118UBoRDkEpQhWOT1x3V6fX91f5VP8unsfpKnVTW5Wy7yyWyZ&#10;XV5U59ViUWU/A36WF2MPA9xhxrL87zjcT/s4Hccpc9DpOsCFlByuV4sO2VbQjC/jL1BFhZ+4Jc/T&#10;iGaq5fAfq4tkhP6PPK+gfiIuEKhX1FZacrq0gN85G2hhSu6+bQQqzrq3hvi8zvI8bFgU8ovLKQl4&#10;almdWoSRBFVyz9l4XfhxKzcW9bqlSFnkxsAdzUCjIz9hPsasKO8g0FLECvYLHLbuVI5evz8z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QZQbVFkCAACuBAAADgAAAAAAAAAAAAAAAAAuAgAAZHJzL2Uyb0RvYy54bWxQSwECLQAU&#10;AAYACAAAACEAhluH1dgAAAAFAQAADwAAAAAAAAAAAAAAAACzBAAAZHJzL2Rvd25yZXYueG1sUEsF&#10;BgAAAAAEAAQA8wAAALgFAAAAAA==&#10;" w14:anchorId="6AD81997">
              <o:lock v:ext="edit" selection="t" aspectratio="t"/>
            </v:rect>
          </w:pict>
        </mc:Fallback>
      </mc:AlternateContent>
    </w:r>
  </w:p>
  <w:p w14:paraId="34D0C13E" w14:textId="77777777" w:rsidR="008C2CFE" w:rsidRDefault="008C2CFE"/>
  <w:p w14:paraId="47923A05" w14:textId="77777777" w:rsidR="008C2CFE" w:rsidRDefault="008C2CFE">
    <w:pPr>
      <w:pStyle w:val="Header"/>
    </w:pPr>
    <w:r>
      <w:rPr>
        <w:noProof/>
      </w:rPr>
      <mc:AlternateContent>
        <mc:Choice Requires="wps">
          <w:drawing>
            <wp:anchor distT="0" distB="0" distL="114300" distR="114300" simplePos="0" relativeHeight="251641856" behindDoc="0" locked="0" layoutInCell="1" allowOverlap="1" wp14:anchorId="7D0104D0" wp14:editId="2B22889D">
              <wp:simplePos x="0" y="0"/>
              <wp:positionH relativeFrom="column">
                <wp:posOffset>0</wp:posOffset>
              </wp:positionH>
              <wp:positionV relativeFrom="paragraph">
                <wp:posOffset>0</wp:posOffset>
              </wp:positionV>
              <wp:extent cx="635000" cy="635000"/>
              <wp:effectExtent l="0" t="0" r="3175" b="3175"/>
              <wp:wrapNone/>
              <wp:docPr id="75" name="Rectangl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75"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QRWQIAAK4EAAAOAAAAZHJzL2Uyb0RvYy54bWysVN1u2jAUvp+0d7B8T5PQQCFqqBCBaVK3&#10;Vev2AMZxEmuJ7R0bQlft3XfsAKPrzTSNC+Pz4+/8fOfk9u7QtWQvwEqtcppcxZQIxXUpVZ3Tr182&#10;oxkl1jFVslYrkdMnYend4u2b295kYqwb3ZYCCIIom/Ump41zJosiyxvRMXuljVBorDR0zKEIdVQC&#10;6xG9a6NxHE+jXkNpQHNhLWqLwUgXAb+qBHefqsoKR9qcYm4unBDOrT+jxS3LamCmkfyYBvuHLDom&#10;FQY9QxXMMbID+Qqqkxy01ZW74rqLdFVJLkINWE0S/1HNY8OMCLVgc6w5t8n+P1j+cf8ARJY5vZlQ&#10;oliHHH3GrjFVt4J4XSPLUnhufa96YzN88mgewFdrzb3m3yxR+lG0+Mp7obBq8LlYWvNKBaD7RrAS&#10;Kwh40QtAL1iEJtv+gy4xE7ZzOrT1UEHnA2LDyCGw93RmTxwc4aicXk/iGDnmaDreMeOIZafHBqx7&#10;J3RH/CWngNkFcLa/t25wPbn4WEpvZNuGAcEQ6OKVPljg9Xkez9ez9SwdpePpepTGRTFablbpaLpJ&#10;bibFdbFaFclPj5+k2dBDD3easST9Ow6P0z5Mx3nKrG5l6eF8Shbq7aoFsmc445vw81Rh4Rdu0cs0&#10;ghlrOf2H6gIZvv8Dz1tdPiEXoLFX2FZccrw0Gn5Q0uPC5NR+3zEQlLTvFfI5T9LUb1gQ0snNGAW4&#10;tGwvLUxxhMqpo2S4rtywlTsDsm4wUhK4UXqJM1DJwI+fjyErzNsLuBShguMC+627lIPX78/M4h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swkUEVkCAACuBAAADgAAAAAAAAAAAAAAAAAuAgAAZHJzL2Uyb0RvYy54bWxQSwECLQAU&#10;AAYACAAAACEAhluH1dgAAAAFAQAADwAAAAAAAAAAAAAAAACzBAAAZHJzL2Rvd25yZXYueG1sUEsF&#10;BgAAAAAEAAQA8wAAALgFAAAAAA==&#10;" w14:anchorId="4F8FB52A">
              <o:lock v:ext="edit" selection="t" aspectratio="t"/>
            </v:rect>
          </w:pict>
        </mc:Fallback>
      </mc:AlternateContent>
    </w:r>
  </w:p>
  <w:p w14:paraId="4FC8AB21" w14:textId="77777777" w:rsidR="008C2CFE" w:rsidRDefault="008C2CFE"/>
  <w:p w14:paraId="6059FE9B" w14:textId="77777777" w:rsidR="008C2CFE" w:rsidRDefault="008C2CFE">
    <w:pPr>
      <w:pStyle w:val="Header"/>
    </w:pPr>
    <w:r>
      <w:rPr>
        <w:noProof/>
      </w:rPr>
      <mc:AlternateContent>
        <mc:Choice Requires="wps">
          <w:drawing>
            <wp:anchor distT="0" distB="0" distL="114300" distR="114300" simplePos="0" relativeHeight="251646976" behindDoc="0" locked="0" layoutInCell="1" allowOverlap="1" wp14:anchorId="66DFBBFC" wp14:editId="303BA14B">
              <wp:simplePos x="0" y="0"/>
              <wp:positionH relativeFrom="column">
                <wp:posOffset>0</wp:posOffset>
              </wp:positionH>
              <wp:positionV relativeFrom="paragraph">
                <wp:posOffset>0</wp:posOffset>
              </wp:positionV>
              <wp:extent cx="635000" cy="635000"/>
              <wp:effectExtent l="0" t="0" r="3175" b="3175"/>
              <wp:wrapNone/>
              <wp:docPr id="74" name="Rectangle 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74"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6b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MufM&#10;iJ44+kRdE2bdKRZ0ra5rFbgNvRqsK+jJo33AUK2z70B+dczAo+roVfAiYdHSc3Xn7AsVIgytEjVV&#10;EPGSZ4BBcATNVsN7qCkTsfEQ27prsA8BqWFsF9l7OrKndp5JUs7OL9KUOJZk2t8p40QUh8cWnX+j&#10;oGfhUnKk7CK42L5zfnQ9uIRYBpa66+KAUAhyCcoQLPL64zq9vr+6v8on+XR2P8nTqprcLRf5ZLbM&#10;Li+q82qxqLKfAT/Li7GHAe4wY1n+dxzup32cjuOUOeh0HeBCSg7Xq0WHbCtoxpfxF6iiwk/ckudp&#10;RDPVcviP1UUyQv9HnldQPxEXCNQraistOV1awO+cDbQwJXffNgIVZ91bQ3xeZ3keNiwK+cXllAQ8&#10;taxOLcJIgiq552y8Lvy4lRuLet1SpCxyY+COZqDRkZ8wH2NWlHcQaCliBfsFDlt3Kkev35+Z+S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In8+m1kCAACuBAAADgAAAAAAAAAAAAAAAAAuAgAAZHJzL2Uyb0RvYy54bWxQSwECLQAU&#10;AAYACAAAACEAhluH1dgAAAAFAQAADwAAAAAAAAAAAAAAAACzBAAAZHJzL2Rvd25yZXYueG1sUEsF&#10;BgAAAAAEAAQA8wAAALgFAAAAAA==&#10;" w14:anchorId="39237F2D">
              <o:lock v:ext="edit" selection="t" aspectratio="t"/>
            </v:rect>
          </w:pict>
        </mc:Fallback>
      </mc:AlternateContent>
    </w:r>
    <w:r>
      <w:rPr>
        <w:noProof/>
      </w:rPr>
      <mc:AlternateContent>
        <mc:Choice Requires="wps">
          <w:drawing>
            <wp:anchor distT="0" distB="0" distL="114300" distR="114300" simplePos="0" relativeHeight="251642880" behindDoc="0" locked="0" layoutInCell="1" allowOverlap="1" wp14:anchorId="7AA77F8D" wp14:editId="06D5451A">
              <wp:simplePos x="0" y="0"/>
              <wp:positionH relativeFrom="column">
                <wp:posOffset>0</wp:posOffset>
              </wp:positionH>
              <wp:positionV relativeFrom="paragraph">
                <wp:posOffset>0</wp:posOffset>
              </wp:positionV>
              <wp:extent cx="635000" cy="635000"/>
              <wp:effectExtent l="0" t="0" r="3175" b="3175"/>
              <wp:wrapNone/>
              <wp:docPr id="73" name="Rectangl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73"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ub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8pwz&#10;I3ri6BN1TZh1p1jQtbquVeA29GqwrqAnj/YBQ7XOvgP51TEDj6qjV8GLhEVLz9Wdsy9UiDC0StRU&#10;QcRLngEGwRE0Ww3voaZMxMZDbOuuwT4EpIaxXWTv6cie2nkmSTk7v0hT4liSaX+njBNRHB5bdP6N&#10;gp6FS8mRsovgYvvO+dH14BJiGVjqrosDQiHIJShDsMjrj+v0+v7q/iqf5NPZ/SRPq2pyt1zkk9ky&#10;u7yozqvFosp+BvwsL8YeBrjDjGX533G4n/ZxOo5T5qDTdYALKTlcrxYdsq2gGV/GX6CKCj9xS56n&#10;Ec1Uy+E/VhfJCP0feV5B/URcIFCvqK205HRpAb9zNtDClNx92whUnHVvDfF5neV52LAo5BeXUxLw&#10;1LI6tQgjCarknrPxuvDjVm4s6nVLkbLIjYE7moFGR37CfIxZUd5BoKWIFewXOGzdqRy9fn9m5r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VzILm1kCAACuBAAADgAAAAAAAAAAAAAAAAAuAgAAZHJzL2Uyb0RvYy54bWxQSwECLQAU&#10;AAYACAAAACEAhluH1dgAAAAFAQAADwAAAAAAAAAAAAAAAACzBAAAZHJzL2Rvd25yZXYueG1sUEsF&#10;BgAAAAAEAAQA8wAAALgFAAAAAA==&#10;" w14:anchorId="04097966">
              <o:lock v:ext="edit" selection="t" aspectratio="t"/>
            </v:rect>
          </w:pict>
        </mc:Fallback>
      </mc:AlternateContent>
    </w:r>
  </w:p>
  <w:p w14:paraId="7789768B" w14:textId="77777777" w:rsidR="008C2CFE" w:rsidRDefault="008C2CFE"/>
  <w:p w14:paraId="6F95A476" w14:textId="77777777" w:rsidR="008C2CFE" w:rsidRDefault="008C2CFE">
    <w:pPr>
      <w:pStyle w:val="Header"/>
    </w:pPr>
    <w:r>
      <w:rPr>
        <w:noProof/>
      </w:rPr>
      <mc:AlternateContent>
        <mc:Choice Requires="wps">
          <w:drawing>
            <wp:anchor distT="0" distB="0" distL="114300" distR="114300" simplePos="0" relativeHeight="251648000" behindDoc="0" locked="0" layoutInCell="1" allowOverlap="1" wp14:anchorId="3EC8BA1B" wp14:editId="35987879">
              <wp:simplePos x="0" y="0"/>
              <wp:positionH relativeFrom="column">
                <wp:posOffset>0</wp:posOffset>
              </wp:positionH>
              <wp:positionV relativeFrom="paragraph">
                <wp:posOffset>0</wp:posOffset>
              </wp:positionV>
              <wp:extent cx="635000" cy="635000"/>
              <wp:effectExtent l="0" t="0" r="3175" b="3175"/>
              <wp:wrapNone/>
              <wp:docPr id="72" name="Rectangle 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72"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ER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csqZ&#10;ET1x9Im6Jsy6UyzoWl3XKnAbejVYV9CTR/uAoVpn34H86piBR9XRq+BFwqKl5+rO2RcqRBhaJWqq&#10;IOIlzwCD4AiarYb3UFMmYuMhtnXXYB8CUsPYLrL3dGRP7TyTpJydX6QpcSzJtL9TxokoDo8tOv9G&#10;Qc/CpeRI2UVwsX3n/Oh6cAmxDCx118UBoRDkEpQhWOT1x3V6fX91f5VP8unsfpKnVTW5Wy7yyWyZ&#10;XV5U59ViUWU/A36WF2MPA9xhxrL87zjcT/s4Hccpc9DpOsCFlByuV4sO2VbQjC/jL1BFhZ+4Jc/T&#10;iGaq5fAfq4tkhP6PPK+gfiIuEKhX1FZacrq0gN85G2hhSu6+bQQqzrq3hvi8zvI8bFgU8ovLKQl4&#10;almdWoSRBFVyz9l4XfhxKzcW9bqlSFnkxsAdzUCjIz9hPsasKO8g0FLECvYLHLbuVI5evz8z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xkQhEVkCAACuBAAADgAAAAAAAAAAAAAAAAAuAgAAZHJzL2Uyb0RvYy54bWxQSwECLQAU&#10;AAYACAAAACEAhluH1dgAAAAFAQAADwAAAAAAAAAAAAAAAACzBAAAZHJzL2Rvd25yZXYueG1sUEsF&#10;BgAAAAAEAAQA8wAAALgFAAAAAA==&#10;" w14:anchorId="6648AD60">
              <o:lock v:ext="edit" selection="t" aspectratio="t"/>
            </v:rect>
          </w:pict>
        </mc:Fallback>
      </mc:AlternateContent>
    </w:r>
    <w:r>
      <w:rPr>
        <w:noProof/>
      </w:rPr>
      <mc:AlternateContent>
        <mc:Choice Requires="wps">
          <w:drawing>
            <wp:anchor distT="0" distB="0" distL="114300" distR="114300" simplePos="0" relativeHeight="251636736" behindDoc="0" locked="0" layoutInCell="1" allowOverlap="1" wp14:anchorId="35528B8E" wp14:editId="3AC09902">
              <wp:simplePos x="0" y="0"/>
              <wp:positionH relativeFrom="column">
                <wp:posOffset>0</wp:posOffset>
              </wp:positionH>
              <wp:positionV relativeFrom="paragraph">
                <wp:posOffset>0</wp:posOffset>
              </wp:positionV>
              <wp:extent cx="635000" cy="635000"/>
              <wp:effectExtent l="0" t="0" r="3175" b="3175"/>
              <wp:wrapNone/>
              <wp:docPr id="71" name="Rectangl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71"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S5U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MuPM&#10;iJ44+kRdE2bdKRZ0ra5rFbgNvRqsK+jJo33AUK2z70B+dczAo+roVfAiYdHSc3Xn7AsVIgytEjVV&#10;EPGSZ4BBcATNVsN7qCkTsfEQ27prsA8BqWFsF9l7OrKndp5JUs7OL9KUOJZk2t8p40QUh8cWnX+j&#10;oGfhUnKk7CK42L5zfnQ9uIRYBpa66+KAUAhyCcoQLPL64zq9vr+6v8on+XR2P8nTqprcLRf5ZLbM&#10;Li+q82qxqLKfAT/Li7GHAe4wY1n+dxzup32cjuOUOeh0HeBCSg7Xq0WHbCtoxpfxF6iiwk/ckudp&#10;RDPVcviP1UUyQv9HnldQPxEXCNQraistOV1awO+cDbQwJXffNgIVZ91bQ3xeZ3keNiwK+cXllAQ8&#10;taxOLcJIgiq552y8Lvy4lRuLet1SpCxyY+COZqDRkZ8wH2NWlHcQaCliBfsFDlt3Kkev35+Z+S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NNkuVFkCAACuBAAADgAAAAAAAAAAAAAAAAAuAgAAZHJzL2Uyb0RvYy54bWxQSwECLQAU&#10;AAYACAAAACEAhluH1dgAAAAFAQAADwAAAAAAAAAAAAAAAACzBAAAZHJzL2Rvd25yZXYueG1sUEsF&#10;BgAAAAAEAAQA8wAAALgFAAAAAA==&#10;" w14:anchorId="7C243878">
              <o:lock v:ext="edit" selection="t" aspectratio="t"/>
            </v:rect>
          </w:pict>
        </mc:Fallback>
      </mc:AlternateContent>
    </w:r>
  </w:p>
  <w:p w14:paraId="5AD32758" w14:textId="77777777" w:rsidR="008C2CFE" w:rsidRDefault="008C2CFE"/>
  <w:p w14:paraId="71994B22" w14:textId="77777777" w:rsidR="008C2CFE" w:rsidRDefault="008C2CFE">
    <w:pPr>
      <w:pStyle w:val="Header"/>
    </w:pPr>
    <w:r>
      <w:rPr>
        <w:noProof/>
      </w:rPr>
      <mc:AlternateContent>
        <mc:Choice Requires="wps">
          <w:drawing>
            <wp:anchor distT="0" distB="0" distL="114300" distR="114300" simplePos="0" relativeHeight="251649024" behindDoc="0" locked="0" layoutInCell="1" allowOverlap="1" wp14:anchorId="09BAB414" wp14:editId="5A9B0847">
              <wp:simplePos x="0" y="0"/>
              <wp:positionH relativeFrom="column">
                <wp:posOffset>0</wp:posOffset>
              </wp:positionH>
              <wp:positionV relativeFrom="paragraph">
                <wp:posOffset>0</wp:posOffset>
              </wp:positionV>
              <wp:extent cx="635000" cy="635000"/>
              <wp:effectExtent l="0" t="0" r="3175" b="3175"/>
              <wp:wrapNone/>
              <wp:docPr id="70" name="Rectangle 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70"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uougIAANEFAAAOAAAAZHJzL2Uyb0RvYy54bWysVFtv0zAUfkfiP1h+z5J07iXR0mlrGoQ0&#10;YGLwA9zEaSwcO9hu04H47xw7bdd2LwjIQ+Rz8Xe+c/G5ud21Am2ZNlzJDMdXEUZMlqricp3hr1+K&#10;YIaRsVRWVCjJMvzMDL6dv31z03cpG6lGiYppBCDSpH2X4cbaLg1DUzaspeZKdUyCsVa6pRZEvQ4r&#10;TXtAb0U4iqJJ2CtddVqVzBjQ5oMRzz1+XbPSfqprwywSGQZu1v+1/6/cP5zf0HStadfwck+D/gWL&#10;lnIJQY9QObUUbTR/BdXyUiujantVqjZUdc1L5nOAbOLoIpunhnbM5wLFMd2xTOb/wZYft48a8SrD&#10;UyiPpC306DNUjcq1YMjpGl5VzPXW1arvTApXnrpH7bI13YMqvxkk1RMTcMt5gbBo4Dq7M90rldaq&#10;bxitIAOPF54BOsEANFr1H1QFTOjGKl/WXa1bFxAKhna+e8/H7rGdRSUoJ9fjKALCJZj2Z2Ac0vRw&#10;udPGvmOqRe6QYQ3sPDjdPhg7uB5cXCypCi6EHxAhzxSAOWggNFx1NkfC9/tnEiXL2XJGAjKaLAMS&#10;5XlwVyxIMCni6Ti/zheLPP7l4sYkHWrrwhxmLyZ/1tv9Kxim5jh9RgleOThHyej1aiE02lKY/cJ/&#10;roVA/sQtPKfhzZDLRUrxiET3oyQoJrNpQAoyDpJpNAuiOLlPJhFJSF6cp/TAJfv3lFCf4WQ8Gvsu&#10;nZC+yA267hr/KjeattzCdhG8zfDs6ERTN4FLWfnWWsrFcD4phaP/Ugqo2KHRfl7diA5PYaWqZxhX&#10;rWCcYPJgD8KhUfoHRj3slAyb7xuqGUbivYSRT2JCwM16gYynIxD0qWV1aqGyBKgMW4yG48IOi2vT&#10;ab5uIFLsCyPVHTyTmvsRdk9oYAX8nQB7w2ey33FuMZ3K3utlE8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x+S6i6AgAA0QUA&#10;AA4AAAAAAAAAAAAAAAAALgIAAGRycy9lMm9Eb2MueG1sUEsBAi0AFAAGAAgAAAAhAIZbh9XYAAAA&#10;BQEAAA8AAAAAAAAAAAAAAAAAFAUAAGRycy9kb3ducmV2LnhtbFBLBQYAAAAABAAEAPMAAAAZBgAA&#10;AAA=&#10;" w14:anchorId="1A94A295">
              <o:lock v:ext="edit" selection="t" aspectratio="t"/>
            </v:rect>
          </w:pict>
        </mc:Fallback>
      </mc:AlternateContent>
    </w:r>
  </w:p>
  <w:p w14:paraId="20E45456" w14:textId="77777777" w:rsidR="008C2CFE" w:rsidRDefault="008C2CFE"/>
  <w:p w14:paraId="728419D1" w14:textId="77777777" w:rsidR="008C2CFE" w:rsidRDefault="008C2CFE">
    <w:pPr>
      <w:pStyle w:val="Header"/>
    </w:pPr>
    <w:r>
      <w:rPr>
        <w:noProof/>
      </w:rPr>
      <mc:AlternateContent>
        <mc:Choice Requires="wps">
          <w:drawing>
            <wp:anchor distT="0" distB="0" distL="114300" distR="114300" simplePos="0" relativeHeight="251650048" behindDoc="0" locked="0" layoutInCell="1" allowOverlap="1" wp14:anchorId="089981A9" wp14:editId="040FD929">
              <wp:simplePos x="0" y="0"/>
              <wp:positionH relativeFrom="column">
                <wp:posOffset>0</wp:posOffset>
              </wp:positionH>
              <wp:positionV relativeFrom="paragraph">
                <wp:posOffset>0</wp:posOffset>
              </wp:positionV>
              <wp:extent cx="635000" cy="635000"/>
              <wp:effectExtent l="0" t="0" r="3175" b="3175"/>
              <wp:wrapNone/>
              <wp:docPr id="69" name="Rectangl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a14="http://schemas.microsoft.com/office/drawing/2010/main" xmlns:pic="http://schemas.openxmlformats.org/drawingml/2006/picture">
          <w:pict>
            <v:rect id="Rectangle 69"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LQvAIAANEFAAAOAAAAZHJzL2Uyb0RvYy54bWysVG1v0zAQ/o7Ef7D8PcvL0rSJlk5b0yCk&#10;ARODH+AmTmPh2MF2mw7Ef+fstF3bfUFAPkQ+n333PPec7+Z213G0pUozKXIcXgUYUVHJmol1jr9+&#10;Kb0ZRtoQURMuBc3xM9X4dv72zc3QZzSSreQ1VQiCCJ0NfY5bY/rM93XV0o7oK9lTAc5Gqo4YMNXa&#10;rxUZIHrH/SgIEn+Qqu6VrKjWsFuMTjx38ZuGVuZT02hqEM8xYDPur9x/Zf/+/IZka0X6llV7GOQv&#10;UHSECUh6DFUQQ9BGsVehOlYpqWVjrirZ+bJpWEUdB2ATBhdsnlrSU8cFiqP7Y5n0/wtbfdw+KsTq&#10;HCcpRoJ0oNFnqBoRa06R3WtZXVOrra3V0OsMrjz1j8qy1f2DrL5pJOQT5XDLngJj0cJ1eqf7V1tK&#10;yaGlpAYGLp5/FtAaGkKj1fBB1oCEbIx0Zd01qrMJoWBo59R7PqpHdwZVsJlcT4IANK7AtV8DYp9k&#10;h8u90uYdlR2yixwrQOeCk+2DNuPRwxGbS8iSce4ahIuzDYg57kBquGp9FoTT+2capMvZchZ7cZQs&#10;vTgoCu+uXMReUobTSXFdLBZF+MvmDeNsrK1Nc+i9MP4zbfevYOyaY/dpyVltw1lIWq1XC67QlkDv&#10;l+6zEgL4k2P+OQznBi4XlMIoDu6j1CuT2dSLy3jipdNg5gVhep8mQZzGRXlO6YEJ+u+U0JDjdBJN&#10;nEonoC+4gepW+FfcSNYxA9OFsy7Hs+MhktkOXIraSWsI4+P6pBQW/kspoGIHoV2/2hYdn8JK1s/Q&#10;rkpCO0HnwRyERSvVD4wGmCk51t83RFGM+HsBLZ+GcWyHkDPiyTQCQ516VqceIioIlWOD0bhcmHFw&#10;bXrF1i1kCl1hhLyDZ9Iw18L2CY2oAL81YG44JvsZZwfTqe1OvUzi+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EE3i0LwCAADR&#10;BQAADgAAAAAAAAAAAAAAAAAuAgAAZHJzL2Uyb0RvYy54bWxQSwECLQAUAAYACAAAACEAhluH1dgA&#10;AAAFAQAADwAAAAAAAAAAAAAAAAAWBQAAZHJzL2Rvd25yZXYueG1sUEsFBgAAAAAEAAQA8wAAABsG&#10;AAAAAA==&#10;" w14:anchorId="1F02EEEF">
              <o:lock v:ext="edit" selection="t" aspectratio="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B7E81" w14:textId="5F9B74C2" w:rsidR="008C2CFE" w:rsidRDefault="008C2CFE" w:rsidP="00D4732D">
    <w:pPr>
      <w:pStyle w:val="Header"/>
      <w:spacing w:after="360"/>
      <w:jc w:val="center"/>
    </w:pPr>
    <w:r w:rsidRPr="000545EE">
      <w:rPr>
        <w:lang w:val="es-ES"/>
      </w:rPr>
      <w:t xml:space="preserve">EC-76/Doc. 3.2(3), ANEXO, VERSIÓN 1, p. </w:t>
    </w:r>
    <w:r w:rsidRPr="00C2459D">
      <w:rPr>
        <w:rStyle w:val="PageNumber"/>
      </w:rPr>
      <w:fldChar w:fldCharType="begin"/>
    </w:r>
    <w:r w:rsidRPr="000545EE">
      <w:rPr>
        <w:rStyle w:val="PageNumber"/>
        <w:lang w:val="es-ES"/>
      </w:rPr>
      <w:instrText xml:space="preserve"> PAGE </w:instrText>
    </w:r>
    <w:r w:rsidRPr="00C2459D">
      <w:rPr>
        <w:rStyle w:val="PageNumber"/>
      </w:rPr>
      <w:fldChar w:fldCharType="separate"/>
    </w:r>
    <w:r>
      <w:rPr>
        <w:rStyle w:val="PageNumber"/>
      </w:rPr>
      <w:t>5</w:t>
    </w:r>
    <w:r w:rsidRPr="00C2459D">
      <w:rPr>
        <w:rStyle w:val="PageNumber"/>
      </w:rPr>
      <w:fldChar w:fldCharType="end"/>
    </w:r>
    <w:r>
      <w:pict w14:anchorId="6F0AA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0;margin-top:0;width:50pt;height:50pt;z-index:251675648;visibility:hidden;mso-position-horizontal-relative:text;mso-position-vertical-relative:text">
          <v:path gradientshapeok="f"/>
          <o:lock v:ext="edit" selection="t"/>
        </v:shape>
      </w:pict>
    </w:r>
    <w:r>
      <w:pict w14:anchorId="41AF1A1C">
        <v:shape id="_x0000_s1049" type="#_x0000_t75" style="position:absolute;left:0;text-align:left;margin-left:0;margin-top:0;width:50pt;height:50pt;z-index:251676672;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82CE2" w14:textId="089B7B00" w:rsidR="008C2CFE" w:rsidRDefault="008C2CFE" w:rsidP="000545EE">
    <w:pPr>
      <w:pStyle w:val="Header"/>
      <w:spacing w:after="360"/>
      <w:jc w:val="center"/>
    </w:pPr>
    <w:r w:rsidRPr="00ED5163">
      <w:rPr>
        <w:lang w:val="es-ES"/>
      </w:rPr>
      <w:t xml:space="preserve">EC-76/Doc. 3.2(3), ANEXO, VERSIÓN 1, p. </w:t>
    </w:r>
    <w:r w:rsidRPr="00C2459D">
      <w:rPr>
        <w:rStyle w:val="PageNumber"/>
      </w:rPr>
      <w:fldChar w:fldCharType="begin"/>
    </w:r>
    <w:r w:rsidRPr="00ED5163">
      <w:rPr>
        <w:rStyle w:val="PageNumber"/>
        <w:lang w:val="es-ES"/>
      </w:rPr>
      <w:instrText xml:space="preserve"> PAGE </w:instrText>
    </w:r>
    <w:r w:rsidRPr="00C2459D">
      <w:rPr>
        <w:rStyle w:val="PageNumber"/>
      </w:rPr>
      <w:fldChar w:fldCharType="separate"/>
    </w:r>
    <w:r>
      <w:rPr>
        <w:rStyle w:val="PageNumber"/>
      </w:rPr>
      <w:t>5</w:t>
    </w:r>
    <w:r w:rsidRPr="00C2459D">
      <w:rPr>
        <w:rStyle w:val="PageNumber"/>
      </w:rPr>
      <w:fldChar w:fldCharType="end"/>
    </w:r>
    <w:r>
      <w:pict w14:anchorId="52AFE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0;margin-top:0;width:50pt;height:50pt;z-index:251677696;visibility:hidden;mso-position-horizontal-relative:text;mso-position-vertical-relative:text">
          <v:path gradientshapeok="f"/>
          <o:lock v:ext="edit" selection="t"/>
        </v:shape>
      </w:pict>
    </w:r>
  </w:p>
</w:hdr>
</file>

<file path=word/intelligence2.xml><?xml version="1.0" encoding="utf-8"?>
<int2:intelligence xmlns:int2="http://schemas.microsoft.com/office/intelligence/2020/intelligence" xmlns:oel="http://schemas.microsoft.com/office/2019/extlst">
  <int2:observations>
    <int2:textHash int2:hashCode="ZGe6o7GHNz45MU" int2:id="thh1MltL">
      <int2:state int2:value="Rejected" int2:type="LegacyProofing"/>
    </int2:textHash>
    <int2:textHash int2:hashCode="z44IcoOUB5bC6C" int2:id="LFMPLgcH">
      <int2:state int2:value="Rejected" int2:type="LegacyProofing"/>
    </int2:textHash>
    <int2:textHash int2:hashCode="lwtRWNKf14z3Nb" int2:id="0bkcz111">
      <int2:state int2:value="Rejected" int2:type="LegacyProofing"/>
    </int2:textHash>
    <int2:textHash int2:hashCode="NoR6KYvDmYb4K3" int2:id="bFo0euZd">
      <int2:state int2:value="Rejected" int2:type="LegacyProofing"/>
    </int2:textHash>
    <int2:textHash int2:hashCode="EkyveWw2B+Zf/5" int2:id="Tgs96FKP">
      <int2:state int2:value="Rejected" int2:type="LegacyProofing"/>
    </int2:textHash>
    <int2:textHash int2:hashCode="Jp9ufc6e8sAMvo" int2:id="sNi1dZ43">
      <int2:state int2:value="Rejected" int2:type="LegacyProofing"/>
    </int2:textHash>
    <int2:textHash int2:hashCode="wtKSqYmrO8qHMS" int2:id="hSEWL4Pq">
      <int2:state int2:value="Rejected" int2:type="LegacyProofing"/>
    </int2:textHash>
    <int2:textHash int2:hashCode="7S6zdCYYuxDTsr" int2:id="QSqlrg0u">
      <int2:state int2:value="Rejected" int2:type="LegacyProofing"/>
    </int2:textHash>
    <int2:textHash int2:hashCode="RoDK08Gim3CDxa" int2:id="hGzk8nop">
      <int2:state int2:value="Rejected" int2:type="LegacyProofing"/>
    </int2:textHash>
    <int2:textHash int2:hashCode="wlQ//zv6bxRMLw" int2:id="QzhRKqqX">
      <int2:state int2:value="Rejected" int2:type="LegacyProofing"/>
    </int2:textHash>
    <int2:textHash int2:hashCode="Zgz/whtmHkx5hL" int2:id="ybs3XWvE">
      <int2:state int2:value="Rejected" int2:type="LegacyProofing"/>
    </int2:textHash>
    <int2:textHash int2:hashCode="vTcNG2+bNYCncI" int2:id="40lG3o3B">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0FAB"/>
    <w:multiLevelType w:val="hybridMultilevel"/>
    <w:tmpl w:val="29C02EB8"/>
    <w:lvl w:ilvl="0" w:tplc="FFFFFFFF">
      <w:start w:val="1"/>
      <w:numFmt w:val="decimal"/>
      <w:lvlText w:val="(%1)"/>
      <w:lvlJc w:val="left"/>
      <w:pPr>
        <w:ind w:left="720" w:hanging="360"/>
      </w:pPr>
      <w:rPr>
        <w:rFonts w:ascii="Verdana" w:hAnsi="Verdana"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0804E3B"/>
    <w:multiLevelType w:val="hybridMultilevel"/>
    <w:tmpl w:val="425C4E4C"/>
    <w:lvl w:ilvl="0" w:tplc="AA502CC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1570B83"/>
    <w:multiLevelType w:val="multilevel"/>
    <w:tmpl w:val="967CBA46"/>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3" w15:restartNumberingAfterBreak="0">
    <w:nsid w:val="06D1243C"/>
    <w:multiLevelType w:val="hybridMultilevel"/>
    <w:tmpl w:val="8F10E94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0B852262"/>
    <w:multiLevelType w:val="hybridMultilevel"/>
    <w:tmpl w:val="E434351C"/>
    <w:lvl w:ilvl="0" w:tplc="2000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C8F6A3E"/>
    <w:multiLevelType w:val="hybridMultilevel"/>
    <w:tmpl w:val="685C0E44"/>
    <w:lvl w:ilvl="0" w:tplc="0C0A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3236AF"/>
    <w:multiLevelType w:val="hybridMultilevel"/>
    <w:tmpl w:val="C1267D20"/>
    <w:lvl w:ilvl="0" w:tplc="2000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4FB2701"/>
    <w:multiLevelType w:val="hybridMultilevel"/>
    <w:tmpl w:val="CE505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1C6555"/>
    <w:multiLevelType w:val="hybridMultilevel"/>
    <w:tmpl w:val="1E305C7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8023A8F"/>
    <w:multiLevelType w:val="hybridMultilevel"/>
    <w:tmpl w:val="5B8EE09E"/>
    <w:lvl w:ilvl="0" w:tplc="A2A41ECC">
      <w:start w:val="1"/>
      <w:numFmt w:val="decimal"/>
      <w:lvlText w:val="%1."/>
      <w:lvlJc w:val="left"/>
      <w:pPr>
        <w:ind w:left="360" w:hanging="360"/>
      </w:pPr>
    </w:lvl>
    <w:lvl w:ilvl="1" w:tplc="EB6AD97A">
      <w:start w:val="1"/>
      <w:numFmt w:val="lowerLetter"/>
      <w:lvlText w:val="%2."/>
      <w:lvlJc w:val="left"/>
      <w:pPr>
        <w:ind w:left="1080" w:hanging="360"/>
      </w:pPr>
    </w:lvl>
    <w:lvl w:ilvl="2" w:tplc="CD50FED8">
      <w:start w:val="1"/>
      <w:numFmt w:val="lowerRoman"/>
      <w:lvlText w:val="%3."/>
      <w:lvlJc w:val="right"/>
      <w:pPr>
        <w:ind w:left="1800" w:hanging="180"/>
      </w:pPr>
    </w:lvl>
    <w:lvl w:ilvl="3" w:tplc="2926EA92">
      <w:start w:val="1"/>
      <w:numFmt w:val="decimal"/>
      <w:lvlText w:val="%4."/>
      <w:lvlJc w:val="left"/>
      <w:pPr>
        <w:ind w:left="2520" w:hanging="360"/>
      </w:pPr>
    </w:lvl>
    <w:lvl w:ilvl="4" w:tplc="79C4F0B6">
      <w:start w:val="1"/>
      <w:numFmt w:val="lowerLetter"/>
      <w:lvlText w:val="%5."/>
      <w:lvlJc w:val="left"/>
      <w:pPr>
        <w:ind w:left="3240" w:hanging="360"/>
      </w:pPr>
    </w:lvl>
    <w:lvl w:ilvl="5" w:tplc="11D6C00A">
      <w:start w:val="1"/>
      <w:numFmt w:val="lowerRoman"/>
      <w:lvlText w:val="%6."/>
      <w:lvlJc w:val="right"/>
      <w:pPr>
        <w:ind w:left="3960" w:hanging="180"/>
      </w:pPr>
    </w:lvl>
    <w:lvl w:ilvl="6" w:tplc="EAC66C34">
      <w:start w:val="1"/>
      <w:numFmt w:val="decimal"/>
      <w:lvlText w:val="%7."/>
      <w:lvlJc w:val="left"/>
      <w:pPr>
        <w:ind w:left="4680" w:hanging="360"/>
      </w:pPr>
    </w:lvl>
    <w:lvl w:ilvl="7" w:tplc="6652CDF2">
      <w:start w:val="1"/>
      <w:numFmt w:val="lowerLetter"/>
      <w:lvlText w:val="%8."/>
      <w:lvlJc w:val="left"/>
      <w:pPr>
        <w:ind w:left="5400" w:hanging="360"/>
      </w:pPr>
    </w:lvl>
    <w:lvl w:ilvl="8" w:tplc="5EEC1020">
      <w:start w:val="1"/>
      <w:numFmt w:val="lowerRoman"/>
      <w:lvlText w:val="%9."/>
      <w:lvlJc w:val="right"/>
      <w:pPr>
        <w:ind w:left="6120" w:hanging="180"/>
      </w:pPr>
    </w:lvl>
  </w:abstractNum>
  <w:abstractNum w:abstractNumId="10" w15:restartNumberingAfterBreak="0">
    <w:nsid w:val="1BB353FD"/>
    <w:multiLevelType w:val="hybridMultilevel"/>
    <w:tmpl w:val="41BA080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F4F62AA"/>
    <w:multiLevelType w:val="hybridMultilevel"/>
    <w:tmpl w:val="B372926C"/>
    <w:lvl w:ilvl="0" w:tplc="AD507FB2">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3CC81F96">
      <w:start w:val="1"/>
      <w:numFmt w:val="bullet"/>
      <w:lvlText w:val=""/>
      <w:lvlJc w:val="left"/>
      <w:pPr>
        <w:ind w:left="2160" w:hanging="360"/>
      </w:pPr>
      <w:rPr>
        <w:rFonts w:ascii="Wingdings" w:hAnsi="Wingdings" w:hint="default"/>
      </w:rPr>
    </w:lvl>
    <w:lvl w:ilvl="3" w:tplc="47F4AE5E">
      <w:start w:val="1"/>
      <w:numFmt w:val="bullet"/>
      <w:lvlText w:val=""/>
      <w:lvlJc w:val="left"/>
      <w:pPr>
        <w:ind w:left="2880" w:hanging="360"/>
      </w:pPr>
      <w:rPr>
        <w:rFonts w:ascii="Symbol" w:hAnsi="Symbol" w:hint="default"/>
      </w:rPr>
    </w:lvl>
    <w:lvl w:ilvl="4" w:tplc="E5B4B33E">
      <w:start w:val="1"/>
      <w:numFmt w:val="bullet"/>
      <w:lvlText w:val="o"/>
      <w:lvlJc w:val="left"/>
      <w:pPr>
        <w:ind w:left="3600" w:hanging="360"/>
      </w:pPr>
      <w:rPr>
        <w:rFonts w:ascii="Courier New" w:hAnsi="Courier New" w:hint="default"/>
      </w:rPr>
    </w:lvl>
    <w:lvl w:ilvl="5" w:tplc="E4228564">
      <w:start w:val="1"/>
      <w:numFmt w:val="bullet"/>
      <w:lvlText w:val=""/>
      <w:lvlJc w:val="left"/>
      <w:pPr>
        <w:ind w:left="4320" w:hanging="360"/>
      </w:pPr>
      <w:rPr>
        <w:rFonts w:ascii="Wingdings" w:hAnsi="Wingdings" w:hint="default"/>
      </w:rPr>
    </w:lvl>
    <w:lvl w:ilvl="6" w:tplc="C6AC6E9E">
      <w:start w:val="1"/>
      <w:numFmt w:val="bullet"/>
      <w:lvlText w:val=""/>
      <w:lvlJc w:val="left"/>
      <w:pPr>
        <w:ind w:left="5040" w:hanging="360"/>
      </w:pPr>
      <w:rPr>
        <w:rFonts w:ascii="Symbol" w:hAnsi="Symbol" w:hint="default"/>
      </w:rPr>
    </w:lvl>
    <w:lvl w:ilvl="7" w:tplc="FFEEFAA8">
      <w:start w:val="1"/>
      <w:numFmt w:val="bullet"/>
      <w:lvlText w:val="o"/>
      <w:lvlJc w:val="left"/>
      <w:pPr>
        <w:ind w:left="5760" w:hanging="360"/>
      </w:pPr>
      <w:rPr>
        <w:rFonts w:ascii="Courier New" w:hAnsi="Courier New" w:hint="default"/>
      </w:rPr>
    </w:lvl>
    <w:lvl w:ilvl="8" w:tplc="82D46852">
      <w:start w:val="1"/>
      <w:numFmt w:val="bullet"/>
      <w:lvlText w:val=""/>
      <w:lvlJc w:val="left"/>
      <w:pPr>
        <w:ind w:left="6480" w:hanging="360"/>
      </w:pPr>
      <w:rPr>
        <w:rFonts w:ascii="Wingdings" w:hAnsi="Wingdings" w:hint="default"/>
      </w:rPr>
    </w:lvl>
  </w:abstractNum>
  <w:abstractNum w:abstractNumId="12" w15:restartNumberingAfterBreak="0">
    <w:nsid w:val="220D7C09"/>
    <w:multiLevelType w:val="hybridMultilevel"/>
    <w:tmpl w:val="D79C06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4D251A8"/>
    <w:multiLevelType w:val="hybridMultilevel"/>
    <w:tmpl w:val="FFFFFFFF"/>
    <w:lvl w:ilvl="0" w:tplc="D0DAD884">
      <w:start w:val="1"/>
      <w:numFmt w:val="bullet"/>
      <w:lvlText w:val=""/>
      <w:lvlJc w:val="left"/>
      <w:pPr>
        <w:ind w:left="-414" w:hanging="360"/>
      </w:pPr>
      <w:rPr>
        <w:rFonts w:ascii="Symbol" w:hAnsi="Symbol" w:hint="default"/>
      </w:rPr>
    </w:lvl>
    <w:lvl w:ilvl="1" w:tplc="D0D6357A">
      <w:start w:val="1"/>
      <w:numFmt w:val="bullet"/>
      <w:lvlText w:val="o"/>
      <w:lvlJc w:val="left"/>
      <w:pPr>
        <w:ind w:left="306" w:hanging="360"/>
      </w:pPr>
      <w:rPr>
        <w:rFonts w:ascii="Courier New" w:hAnsi="Courier New" w:hint="default"/>
      </w:rPr>
    </w:lvl>
    <w:lvl w:ilvl="2" w:tplc="EAE042CC">
      <w:start w:val="1"/>
      <w:numFmt w:val="bullet"/>
      <w:lvlText w:val=""/>
      <w:lvlJc w:val="left"/>
      <w:pPr>
        <w:ind w:left="1026" w:hanging="360"/>
      </w:pPr>
      <w:rPr>
        <w:rFonts w:ascii="Wingdings" w:hAnsi="Wingdings" w:hint="default"/>
      </w:rPr>
    </w:lvl>
    <w:lvl w:ilvl="3" w:tplc="EA4E59F8">
      <w:start w:val="1"/>
      <w:numFmt w:val="bullet"/>
      <w:lvlText w:val=""/>
      <w:lvlJc w:val="left"/>
      <w:pPr>
        <w:ind w:left="1746" w:hanging="360"/>
      </w:pPr>
      <w:rPr>
        <w:rFonts w:ascii="Symbol" w:hAnsi="Symbol" w:hint="default"/>
      </w:rPr>
    </w:lvl>
    <w:lvl w:ilvl="4" w:tplc="DB9EE276">
      <w:start w:val="1"/>
      <w:numFmt w:val="bullet"/>
      <w:lvlText w:val="o"/>
      <w:lvlJc w:val="left"/>
      <w:pPr>
        <w:ind w:left="2466" w:hanging="360"/>
      </w:pPr>
      <w:rPr>
        <w:rFonts w:ascii="Courier New" w:hAnsi="Courier New" w:hint="default"/>
      </w:rPr>
    </w:lvl>
    <w:lvl w:ilvl="5" w:tplc="7D7C8CA2">
      <w:start w:val="1"/>
      <w:numFmt w:val="bullet"/>
      <w:lvlText w:val=""/>
      <w:lvlJc w:val="left"/>
      <w:pPr>
        <w:ind w:left="3186" w:hanging="360"/>
      </w:pPr>
      <w:rPr>
        <w:rFonts w:ascii="Wingdings" w:hAnsi="Wingdings" w:hint="default"/>
      </w:rPr>
    </w:lvl>
    <w:lvl w:ilvl="6" w:tplc="C0DA2014">
      <w:start w:val="1"/>
      <w:numFmt w:val="bullet"/>
      <w:lvlText w:val=""/>
      <w:lvlJc w:val="left"/>
      <w:pPr>
        <w:ind w:left="3906" w:hanging="360"/>
      </w:pPr>
      <w:rPr>
        <w:rFonts w:ascii="Symbol" w:hAnsi="Symbol" w:hint="default"/>
      </w:rPr>
    </w:lvl>
    <w:lvl w:ilvl="7" w:tplc="F210E6FA">
      <w:start w:val="1"/>
      <w:numFmt w:val="bullet"/>
      <w:lvlText w:val="o"/>
      <w:lvlJc w:val="left"/>
      <w:pPr>
        <w:ind w:left="4626" w:hanging="360"/>
      </w:pPr>
      <w:rPr>
        <w:rFonts w:ascii="Courier New" w:hAnsi="Courier New" w:hint="default"/>
      </w:rPr>
    </w:lvl>
    <w:lvl w:ilvl="8" w:tplc="98C8C590">
      <w:start w:val="1"/>
      <w:numFmt w:val="bullet"/>
      <w:lvlText w:val=""/>
      <w:lvlJc w:val="left"/>
      <w:pPr>
        <w:ind w:left="5346" w:hanging="360"/>
      </w:pPr>
      <w:rPr>
        <w:rFonts w:ascii="Wingdings" w:hAnsi="Wingdings" w:hint="default"/>
      </w:rPr>
    </w:lvl>
  </w:abstractNum>
  <w:abstractNum w:abstractNumId="14" w15:restartNumberingAfterBreak="0">
    <w:nsid w:val="262C0DE5"/>
    <w:multiLevelType w:val="hybridMultilevel"/>
    <w:tmpl w:val="8EA4AA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9474984"/>
    <w:multiLevelType w:val="hybridMultilevel"/>
    <w:tmpl w:val="29C02EB8"/>
    <w:lvl w:ilvl="0" w:tplc="FFFFFFFF">
      <w:start w:val="1"/>
      <w:numFmt w:val="decimal"/>
      <w:lvlText w:val="(%1)"/>
      <w:lvlJc w:val="left"/>
      <w:pPr>
        <w:ind w:left="720" w:hanging="360"/>
      </w:pPr>
      <w:rPr>
        <w:rFonts w:ascii="Verdana" w:hAnsi="Verdana"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297D6085"/>
    <w:multiLevelType w:val="hybridMultilevel"/>
    <w:tmpl w:val="3E52600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B3D0925"/>
    <w:multiLevelType w:val="hybridMultilevel"/>
    <w:tmpl w:val="5EC63522"/>
    <w:lvl w:ilvl="0" w:tplc="04090001">
      <w:start w:val="1"/>
      <w:numFmt w:val="bullet"/>
      <w:lvlText w:val=""/>
      <w:lvlJc w:val="left"/>
      <w:pPr>
        <w:ind w:left="360" w:hanging="360"/>
      </w:pPr>
      <w:rPr>
        <w:rFonts w:ascii="Symbol" w:hAnsi="Symbol" w:hint="default"/>
      </w:rPr>
    </w:lvl>
    <w:lvl w:ilvl="1" w:tplc="D3701BBC">
      <w:numFmt w:val="bullet"/>
      <w:lvlText w:val="-"/>
      <w:lvlJc w:val="left"/>
      <w:pPr>
        <w:ind w:left="1080" w:hanging="360"/>
      </w:pPr>
      <w:rPr>
        <w:rFonts w:ascii="Segoe UI" w:eastAsiaTheme="minorHAnsi" w:hAnsi="Segoe UI" w:cs="Segoe U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591515"/>
    <w:multiLevelType w:val="hybridMultilevel"/>
    <w:tmpl w:val="034CE15A"/>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2CF73278"/>
    <w:multiLevelType w:val="hybridMultilevel"/>
    <w:tmpl w:val="A57867FA"/>
    <w:lvl w:ilvl="0" w:tplc="0C0A0017">
      <w:start w:val="1"/>
      <w:numFmt w:val="lowerLetter"/>
      <w:lvlText w:val="%1)"/>
      <w:lvlJc w:val="left"/>
      <w:pPr>
        <w:ind w:left="720" w:hanging="360"/>
      </w:pPr>
      <w:rPr>
        <w:rFonts w:hint="default"/>
      </w:rPr>
    </w:lvl>
    <w:lvl w:ilvl="1" w:tplc="2000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1AC4BC6"/>
    <w:multiLevelType w:val="hybridMultilevel"/>
    <w:tmpl w:val="31981ECE"/>
    <w:lvl w:ilvl="0" w:tplc="0C0A0017">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245458A"/>
    <w:multiLevelType w:val="hybridMultilevel"/>
    <w:tmpl w:val="F2AA0D7A"/>
    <w:lvl w:ilvl="0" w:tplc="2000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7AC0C5C"/>
    <w:multiLevelType w:val="hybridMultilevel"/>
    <w:tmpl w:val="AF3C1A34"/>
    <w:lvl w:ilvl="0" w:tplc="20000017">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7C37E86"/>
    <w:multiLevelType w:val="hybridMultilevel"/>
    <w:tmpl w:val="D92AD220"/>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4" w15:restartNumberingAfterBreak="0">
    <w:nsid w:val="4283553B"/>
    <w:multiLevelType w:val="hybridMultilevel"/>
    <w:tmpl w:val="F4202AA8"/>
    <w:lvl w:ilvl="0" w:tplc="ED7401D8">
      <w:start w:val="1"/>
      <w:numFmt w:val="bullet"/>
      <w:lvlText w:val="·"/>
      <w:lvlJc w:val="left"/>
      <w:pPr>
        <w:ind w:left="720" w:hanging="360"/>
      </w:pPr>
      <w:rPr>
        <w:rFonts w:ascii="Symbol" w:hAnsi="Symbol" w:hint="default"/>
      </w:rPr>
    </w:lvl>
    <w:lvl w:ilvl="1" w:tplc="05980396">
      <w:start w:val="1"/>
      <w:numFmt w:val="bullet"/>
      <w:lvlText w:val="o"/>
      <w:lvlJc w:val="left"/>
      <w:pPr>
        <w:ind w:left="1440" w:hanging="360"/>
      </w:pPr>
      <w:rPr>
        <w:rFonts w:ascii="Courier New" w:hAnsi="Courier New" w:hint="default"/>
      </w:rPr>
    </w:lvl>
    <w:lvl w:ilvl="2" w:tplc="D60E8990">
      <w:start w:val="1"/>
      <w:numFmt w:val="bullet"/>
      <w:lvlText w:val=""/>
      <w:lvlJc w:val="left"/>
      <w:pPr>
        <w:ind w:left="2160" w:hanging="360"/>
      </w:pPr>
      <w:rPr>
        <w:rFonts w:ascii="Wingdings" w:hAnsi="Wingdings" w:hint="default"/>
      </w:rPr>
    </w:lvl>
    <w:lvl w:ilvl="3" w:tplc="0034463C">
      <w:start w:val="1"/>
      <w:numFmt w:val="bullet"/>
      <w:lvlText w:val=""/>
      <w:lvlJc w:val="left"/>
      <w:pPr>
        <w:ind w:left="2880" w:hanging="360"/>
      </w:pPr>
      <w:rPr>
        <w:rFonts w:ascii="Symbol" w:hAnsi="Symbol" w:hint="default"/>
      </w:rPr>
    </w:lvl>
    <w:lvl w:ilvl="4" w:tplc="BD923C54">
      <w:start w:val="1"/>
      <w:numFmt w:val="bullet"/>
      <w:lvlText w:val="o"/>
      <w:lvlJc w:val="left"/>
      <w:pPr>
        <w:ind w:left="3600" w:hanging="360"/>
      </w:pPr>
      <w:rPr>
        <w:rFonts w:ascii="Courier New" w:hAnsi="Courier New" w:hint="default"/>
      </w:rPr>
    </w:lvl>
    <w:lvl w:ilvl="5" w:tplc="CA7A28E4">
      <w:start w:val="1"/>
      <w:numFmt w:val="bullet"/>
      <w:lvlText w:val=""/>
      <w:lvlJc w:val="left"/>
      <w:pPr>
        <w:ind w:left="4320" w:hanging="360"/>
      </w:pPr>
      <w:rPr>
        <w:rFonts w:ascii="Wingdings" w:hAnsi="Wingdings" w:hint="default"/>
      </w:rPr>
    </w:lvl>
    <w:lvl w:ilvl="6" w:tplc="1D220F86">
      <w:start w:val="1"/>
      <w:numFmt w:val="bullet"/>
      <w:lvlText w:val=""/>
      <w:lvlJc w:val="left"/>
      <w:pPr>
        <w:ind w:left="5040" w:hanging="360"/>
      </w:pPr>
      <w:rPr>
        <w:rFonts w:ascii="Symbol" w:hAnsi="Symbol" w:hint="default"/>
      </w:rPr>
    </w:lvl>
    <w:lvl w:ilvl="7" w:tplc="0A8E5C7A">
      <w:start w:val="1"/>
      <w:numFmt w:val="bullet"/>
      <w:lvlText w:val="o"/>
      <w:lvlJc w:val="left"/>
      <w:pPr>
        <w:ind w:left="5760" w:hanging="360"/>
      </w:pPr>
      <w:rPr>
        <w:rFonts w:ascii="Courier New" w:hAnsi="Courier New" w:hint="default"/>
      </w:rPr>
    </w:lvl>
    <w:lvl w:ilvl="8" w:tplc="084C8916">
      <w:start w:val="1"/>
      <w:numFmt w:val="bullet"/>
      <w:lvlText w:val=""/>
      <w:lvlJc w:val="left"/>
      <w:pPr>
        <w:ind w:left="6480" w:hanging="360"/>
      </w:pPr>
      <w:rPr>
        <w:rFonts w:ascii="Wingdings" w:hAnsi="Wingdings" w:hint="default"/>
      </w:rPr>
    </w:lvl>
  </w:abstractNum>
  <w:abstractNum w:abstractNumId="25" w15:restartNumberingAfterBreak="0">
    <w:nsid w:val="44C617AB"/>
    <w:multiLevelType w:val="hybridMultilevel"/>
    <w:tmpl w:val="DE0C2B7E"/>
    <w:lvl w:ilvl="0" w:tplc="0C0A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4693410E"/>
    <w:multiLevelType w:val="hybridMultilevel"/>
    <w:tmpl w:val="14C2B8F8"/>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306" w:hanging="360"/>
      </w:pPr>
      <w:rPr>
        <w:rFonts w:ascii="Courier New" w:hAnsi="Courier New" w:cs="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cs="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cs="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27" w15:restartNumberingAfterBreak="0">
    <w:nsid w:val="4C9B1FD0"/>
    <w:multiLevelType w:val="hybridMultilevel"/>
    <w:tmpl w:val="047EC36E"/>
    <w:lvl w:ilvl="0" w:tplc="CEDC6944">
      <w:start w:val="1"/>
      <w:numFmt w:val="decimal"/>
      <w:lvlText w:val="(%1)"/>
      <w:lvlJc w:val="left"/>
      <w:pPr>
        <w:ind w:left="720" w:hanging="360"/>
      </w:pPr>
      <w:rPr>
        <w:rFonts w:ascii="Verdana" w:hAnsi="Verdana"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51A278E7"/>
    <w:multiLevelType w:val="hybridMultilevel"/>
    <w:tmpl w:val="3092A976"/>
    <w:lvl w:ilvl="0" w:tplc="04090001">
      <w:start w:val="1"/>
      <w:numFmt w:val="bullet"/>
      <w:lvlText w:val=""/>
      <w:lvlJc w:val="left"/>
      <w:pPr>
        <w:ind w:left="360" w:hanging="360"/>
      </w:pPr>
      <w:rPr>
        <w:rFonts w:ascii="Symbol" w:hAnsi="Symbol" w:hint="default"/>
      </w:rPr>
    </w:lvl>
    <w:lvl w:ilvl="1" w:tplc="A558B7B8">
      <w:numFmt w:val="bullet"/>
      <w:lvlText w:val="•"/>
      <w:lvlJc w:val="left"/>
      <w:pPr>
        <w:ind w:left="1840" w:hanging="1120"/>
      </w:pPr>
      <w:rPr>
        <w:rFonts w:ascii="Verdana" w:eastAsiaTheme="minorHAnsi" w:hAnsi="Verdana" w:cstheme="maj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5446AFF"/>
    <w:multiLevelType w:val="hybridMultilevel"/>
    <w:tmpl w:val="24BEEC08"/>
    <w:lvl w:ilvl="0" w:tplc="735049F0">
      <w:start w:val="1"/>
      <w:numFmt w:val="bullet"/>
      <w:lvlText w:val=""/>
      <w:lvlJc w:val="left"/>
      <w:pPr>
        <w:ind w:left="360" w:hanging="360"/>
      </w:pPr>
      <w:rPr>
        <w:rFonts w:ascii="Symbol" w:hAnsi="Symbol" w:hint="default"/>
      </w:rPr>
    </w:lvl>
    <w:lvl w:ilvl="1" w:tplc="C8C0EE36">
      <w:start w:val="1"/>
      <w:numFmt w:val="bullet"/>
      <w:lvlText w:val="o"/>
      <w:lvlJc w:val="left"/>
      <w:pPr>
        <w:ind w:left="1080" w:hanging="360"/>
      </w:pPr>
      <w:rPr>
        <w:rFonts w:ascii="Courier New" w:hAnsi="Courier New" w:hint="default"/>
      </w:rPr>
    </w:lvl>
    <w:lvl w:ilvl="2" w:tplc="29A2B240">
      <w:start w:val="1"/>
      <w:numFmt w:val="bullet"/>
      <w:lvlText w:val=""/>
      <w:lvlJc w:val="left"/>
      <w:pPr>
        <w:ind w:left="1800" w:hanging="360"/>
      </w:pPr>
      <w:rPr>
        <w:rFonts w:ascii="Wingdings" w:hAnsi="Wingdings" w:hint="default"/>
      </w:rPr>
    </w:lvl>
    <w:lvl w:ilvl="3" w:tplc="EFFC48DE">
      <w:start w:val="1"/>
      <w:numFmt w:val="bullet"/>
      <w:lvlText w:val=""/>
      <w:lvlJc w:val="left"/>
      <w:pPr>
        <w:ind w:left="2520" w:hanging="360"/>
      </w:pPr>
      <w:rPr>
        <w:rFonts w:ascii="Symbol" w:hAnsi="Symbol" w:hint="default"/>
      </w:rPr>
    </w:lvl>
    <w:lvl w:ilvl="4" w:tplc="E3F0F674">
      <w:start w:val="1"/>
      <w:numFmt w:val="bullet"/>
      <w:lvlText w:val="o"/>
      <w:lvlJc w:val="left"/>
      <w:pPr>
        <w:ind w:left="3240" w:hanging="360"/>
      </w:pPr>
      <w:rPr>
        <w:rFonts w:ascii="Courier New" w:hAnsi="Courier New" w:hint="default"/>
      </w:rPr>
    </w:lvl>
    <w:lvl w:ilvl="5" w:tplc="8110A4D0">
      <w:start w:val="1"/>
      <w:numFmt w:val="bullet"/>
      <w:lvlText w:val=""/>
      <w:lvlJc w:val="left"/>
      <w:pPr>
        <w:ind w:left="3960" w:hanging="360"/>
      </w:pPr>
      <w:rPr>
        <w:rFonts w:ascii="Wingdings" w:hAnsi="Wingdings" w:hint="default"/>
      </w:rPr>
    </w:lvl>
    <w:lvl w:ilvl="6" w:tplc="3BD836B2">
      <w:start w:val="1"/>
      <w:numFmt w:val="bullet"/>
      <w:lvlText w:val=""/>
      <w:lvlJc w:val="left"/>
      <w:pPr>
        <w:ind w:left="4680" w:hanging="360"/>
      </w:pPr>
      <w:rPr>
        <w:rFonts w:ascii="Symbol" w:hAnsi="Symbol" w:hint="default"/>
      </w:rPr>
    </w:lvl>
    <w:lvl w:ilvl="7" w:tplc="A4F4D832">
      <w:start w:val="1"/>
      <w:numFmt w:val="bullet"/>
      <w:lvlText w:val="o"/>
      <w:lvlJc w:val="left"/>
      <w:pPr>
        <w:ind w:left="5400" w:hanging="360"/>
      </w:pPr>
      <w:rPr>
        <w:rFonts w:ascii="Courier New" w:hAnsi="Courier New" w:hint="default"/>
      </w:rPr>
    </w:lvl>
    <w:lvl w:ilvl="8" w:tplc="943E7D78">
      <w:start w:val="1"/>
      <w:numFmt w:val="bullet"/>
      <w:lvlText w:val=""/>
      <w:lvlJc w:val="left"/>
      <w:pPr>
        <w:ind w:left="6120" w:hanging="360"/>
      </w:pPr>
      <w:rPr>
        <w:rFonts w:ascii="Wingdings" w:hAnsi="Wingdings" w:hint="default"/>
      </w:rPr>
    </w:lvl>
  </w:abstractNum>
  <w:abstractNum w:abstractNumId="30" w15:restartNumberingAfterBreak="0">
    <w:nsid w:val="57077523"/>
    <w:multiLevelType w:val="hybridMultilevel"/>
    <w:tmpl w:val="06789BC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57161C75"/>
    <w:multiLevelType w:val="hybridMultilevel"/>
    <w:tmpl w:val="723269F8"/>
    <w:lvl w:ilvl="0" w:tplc="E4401A8E">
      <w:start w:val="1"/>
      <w:numFmt w:val="decimal"/>
      <w:lvlText w:val="%1."/>
      <w:lvlJc w:val="left"/>
      <w:pPr>
        <w:ind w:left="360" w:hanging="360"/>
      </w:pPr>
      <w:rPr>
        <w:rFonts w:ascii="Calibri" w:eastAsia="Calibri" w:hAnsi="Calibri" w:cs="Calibr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9BB2E3E"/>
    <w:multiLevelType w:val="hybridMultilevel"/>
    <w:tmpl w:val="890E64A2"/>
    <w:lvl w:ilvl="0" w:tplc="0C0A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ADC7950"/>
    <w:multiLevelType w:val="multilevel"/>
    <w:tmpl w:val="AC826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BEC32FF"/>
    <w:multiLevelType w:val="hybridMultilevel"/>
    <w:tmpl w:val="F77E49B6"/>
    <w:lvl w:ilvl="0" w:tplc="2000000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65BE696E"/>
    <w:multiLevelType w:val="hybridMultilevel"/>
    <w:tmpl w:val="76C6EDF0"/>
    <w:lvl w:ilvl="0" w:tplc="0C0A0017">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6A493B20"/>
    <w:multiLevelType w:val="hybridMultilevel"/>
    <w:tmpl w:val="9F9E0970"/>
    <w:lvl w:ilvl="0" w:tplc="0C0A0017">
      <w:start w:val="1"/>
      <w:numFmt w:val="lowerLetter"/>
      <w:lvlText w:val="%1)"/>
      <w:lvlJc w:val="left"/>
      <w:pPr>
        <w:ind w:left="720" w:hanging="360"/>
      </w:pPr>
      <w:rPr>
        <w:rFonts w:hint="default"/>
      </w:rPr>
    </w:lvl>
    <w:lvl w:ilvl="1" w:tplc="2000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3F13A1"/>
    <w:multiLevelType w:val="hybridMultilevel"/>
    <w:tmpl w:val="EEBE9206"/>
    <w:lvl w:ilvl="0" w:tplc="0C0A0017">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6C27737D"/>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D6F033B"/>
    <w:multiLevelType w:val="hybridMultilevel"/>
    <w:tmpl w:val="0428D156"/>
    <w:lvl w:ilvl="0" w:tplc="0C0A0017">
      <w:start w:val="1"/>
      <w:numFmt w:val="lowerLetter"/>
      <w:lvlText w:val="%1)"/>
      <w:lvlJc w:val="left"/>
      <w:pPr>
        <w:ind w:left="370" w:hanging="37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0" w15:restartNumberingAfterBreak="0">
    <w:nsid w:val="70541384"/>
    <w:multiLevelType w:val="hybridMultilevel"/>
    <w:tmpl w:val="8C08B548"/>
    <w:lvl w:ilvl="0" w:tplc="442819B2">
      <w:start w:val="1"/>
      <w:numFmt w:val="decimal"/>
      <w:lvlText w:val="(%1)"/>
      <w:lvlJc w:val="left"/>
      <w:pPr>
        <w:ind w:left="720" w:hanging="360"/>
      </w:pPr>
      <w:rPr>
        <w:rFonts w:ascii="Verdana" w:hAnsi="Verdana" w:hint="default"/>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711162CB"/>
    <w:multiLevelType w:val="hybridMultilevel"/>
    <w:tmpl w:val="92E27A08"/>
    <w:lvl w:ilvl="0" w:tplc="FFFFFFF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15B7ED9"/>
    <w:multiLevelType w:val="hybridMultilevel"/>
    <w:tmpl w:val="43D6F38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3" w15:restartNumberingAfterBreak="0">
    <w:nsid w:val="724A5C79"/>
    <w:multiLevelType w:val="hybridMultilevel"/>
    <w:tmpl w:val="9B7A458E"/>
    <w:lvl w:ilvl="0" w:tplc="AD507FB2">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3CC81F96">
      <w:start w:val="1"/>
      <w:numFmt w:val="bullet"/>
      <w:lvlText w:val=""/>
      <w:lvlJc w:val="left"/>
      <w:pPr>
        <w:ind w:left="2160" w:hanging="360"/>
      </w:pPr>
      <w:rPr>
        <w:rFonts w:ascii="Wingdings" w:hAnsi="Wingdings" w:hint="default"/>
      </w:rPr>
    </w:lvl>
    <w:lvl w:ilvl="3" w:tplc="47F4AE5E">
      <w:start w:val="1"/>
      <w:numFmt w:val="bullet"/>
      <w:lvlText w:val=""/>
      <w:lvlJc w:val="left"/>
      <w:pPr>
        <w:ind w:left="2880" w:hanging="360"/>
      </w:pPr>
      <w:rPr>
        <w:rFonts w:ascii="Symbol" w:hAnsi="Symbol" w:hint="default"/>
      </w:rPr>
    </w:lvl>
    <w:lvl w:ilvl="4" w:tplc="E5B4B33E">
      <w:start w:val="1"/>
      <w:numFmt w:val="bullet"/>
      <w:lvlText w:val="o"/>
      <w:lvlJc w:val="left"/>
      <w:pPr>
        <w:ind w:left="3600" w:hanging="360"/>
      </w:pPr>
      <w:rPr>
        <w:rFonts w:ascii="Courier New" w:hAnsi="Courier New" w:hint="default"/>
      </w:rPr>
    </w:lvl>
    <w:lvl w:ilvl="5" w:tplc="E4228564">
      <w:start w:val="1"/>
      <w:numFmt w:val="bullet"/>
      <w:lvlText w:val=""/>
      <w:lvlJc w:val="left"/>
      <w:pPr>
        <w:ind w:left="4320" w:hanging="360"/>
      </w:pPr>
      <w:rPr>
        <w:rFonts w:ascii="Wingdings" w:hAnsi="Wingdings" w:hint="default"/>
      </w:rPr>
    </w:lvl>
    <w:lvl w:ilvl="6" w:tplc="C6AC6E9E">
      <w:start w:val="1"/>
      <w:numFmt w:val="bullet"/>
      <w:lvlText w:val=""/>
      <w:lvlJc w:val="left"/>
      <w:pPr>
        <w:ind w:left="5040" w:hanging="360"/>
      </w:pPr>
      <w:rPr>
        <w:rFonts w:ascii="Symbol" w:hAnsi="Symbol" w:hint="default"/>
      </w:rPr>
    </w:lvl>
    <w:lvl w:ilvl="7" w:tplc="FFEEFAA8">
      <w:start w:val="1"/>
      <w:numFmt w:val="bullet"/>
      <w:lvlText w:val="o"/>
      <w:lvlJc w:val="left"/>
      <w:pPr>
        <w:ind w:left="5760" w:hanging="360"/>
      </w:pPr>
      <w:rPr>
        <w:rFonts w:ascii="Courier New" w:hAnsi="Courier New" w:hint="default"/>
      </w:rPr>
    </w:lvl>
    <w:lvl w:ilvl="8" w:tplc="82D46852">
      <w:start w:val="1"/>
      <w:numFmt w:val="bullet"/>
      <w:lvlText w:val=""/>
      <w:lvlJc w:val="left"/>
      <w:pPr>
        <w:ind w:left="6480" w:hanging="360"/>
      </w:pPr>
      <w:rPr>
        <w:rFonts w:ascii="Wingdings" w:hAnsi="Wingdings" w:hint="default"/>
      </w:rPr>
    </w:lvl>
  </w:abstractNum>
  <w:abstractNum w:abstractNumId="44" w15:restartNumberingAfterBreak="0">
    <w:nsid w:val="725025B0"/>
    <w:multiLevelType w:val="hybridMultilevel"/>
    <w:tmpl w:val="FDE6262A"/>
    <w:lvl w:ilvl="0" w:tplc="817A85CC">
      <w:start w:val="1"/>
      <w:numFmt w:val="decimal"/>
      <w:lvlText w:val="%1."/>
      <w:lvlJc w:val="left"/>
      <w:pPr>
        <w:ind w:left="360" w:hanging="360"/>
      </w:pPr>
    </w:lvl>
    <w:lvl w:ilvl="1" w:tplc="8494A66A">
      <w:start w:val="1"/>
      <w:numFmt w:val="lowerLetter"/>
      <w:lvlText w:val="%2."/>
      <w:lvlJc w:val="left"/>
      <w:pPr>
        <w:ind w:left="1080" w:hanging="360"/>
      </w:pPr>
    </w:lvl>
    <w:lvl w:ilvl="2" w:tplc="C5E6C018">
      <w:start w:val="1"/>
      <w:numFmt w:val="lowerRoman"/>
      <w:lvlText w:val="%3."/>
      <w:lvlJc w:val="right"/>
      <w:pPr>
        <w:ind w:left="1800" w:hanging="180"/>
      </w:pPr>
    </w:lvl>
    <w:lvl w:ilvl="3" w:tplc="EDA69438">
      <w:start w:val="1"/>
      <w:numFmt w:val="decimal"/>
      <w:lvlText w:val="%4."/>
      <w:lvlJc w:val="left"/>
      <w:pPr>
        <w:ind w:left="2520" w:hanging="360"/>
      </w:pPr>
    </w:lvl>
    <w:lvl w:ilvl="4" w:tplc="CEBCBC36">
      <w:start w:val="1"/>
      <w:numFmt w:val="lowerLetter"/>
      <w:lvlText w:val="%5."/>
      <w:lvlJc w:val="left"/>
      <w:pPr>
        <w:ind w:left="3240" w:hanging="360"/>
      </w:pPr>
    </w:lvl>
    <w:lvl w:ilvl="5" w:tplc="E00E2EBC">
      <w:start w:val="1"/>
      <w:numFmt w:val="lowerRoman"/>
      <w:lvlText w:val="%6."/>
      <w:lvlJc w:val="right"/>
      <w:pPr>
        <w:ind w:left="3960" w:hanging="180"/>
      </w:pPr>
    </w:lvl>
    <w:lvl w:ilvl="6" w:tplc="33D856B6">
      <w:start w:val="1"/>
      <w:numFmt w:val="decimal"/>
      <w:lvlText w:val="%7."/>
      <w:lvlJc w:val="left"/>
      <w:pPr>
        <w:ind w:left="4680" w:hanging="360"/>
      </w:pPr>
    </w:lvl>
    <w:lvl w:ilvl="7" w:tplc="D5E674BA">
      <w:start w:val="1"/>
      <w:numFmt w:val="lowerLetter"/>
      <w:lvlText w:val="%8."/>
      <w:lvlJc w:val="left"/>
      <w:pPr>
        <w:ind w:left="5400" w:hanging="360"/>
      </w:pPr>
    </w:lvl>
    <w:lvl w:ilvl="8" w:tplc="A268F2D2">
      <w:start w:val="1"/>
      <w:numFmt w:val="lowerRoman"/>
      <w:lvlText w:val="%9."/>
      <w:lvlJc w:val="right"/>
      <w:pPr>
        <w:ind w:left="6120" w:hanging="180"/>
      </w:pPr>
    </w:lvl>
  </w:abstractNum>
  <w:abstractNum w:abstractNumId="45" w15:restartNumberingAfterBreak="0">
    <w:nsid w:val="774E4A40"/>
    <w:multiLevelType w:val="hybridMultilevel"/>
    <w:tmpl w:val="84FAFC72"/>
    <w:lvl w:ilvl="0" w:tplc="20000001">
      <w:start w:val="1"/>
      <w:numFmt w:val="bullet"/>
      <w:lvlText w:val=""/>
      <w:lvlJc w:val="left"/>
      <w:pPr>
        <w:ind w:left="720" w:hanging="360"/>
      </w:pPr>
      <w:rPr>
        <w:rFonts w:ascii="Symbol" w:hAnsi="Symbol" w:hint="default"/>
      </w:rPr>
    </w:lvl>
    <w:lvl w:ilvl="1" w:tplc="0298FFD6">
      <w:start w:val="1"/>
      <w:numFmt w:val="bullet"/>
      <w:lvlText w:val="o"/>
      <w:lvlJc w:val="left"/>
      <w:pPr>
        <w:ind w:left="1440" w:hanging="360"/>
      </w:pPr>
      <w:rPr>
        <w:rFonts w:ascii="Courier New" w:hAnsi="Courier New" w:hint="default"/>
      </w:rPr>
    </w:lvl>
    <w:lvl w:ilvl="2" w:tplc="802EEC80">
      <w:start w:val="1"/>
      <w:numFmt w:val="bullet"/>
      <w:lvlText w:val=""/>
      <w:lvlJc w:val="left"/>
      <w:pPr>
        <w:ind w:left="2160" w:hanging="360"/>
      </w:pPr>
      <w:rPr>
        <w:rFonts w:ascii="Wingdings" w:hAnsi="Wingdings" w:hint="default"/>
      </w:rPr>
    </w:lvl>
    <w:lvl w:ilvl="3" w:tplc="971C8B60">
      <w:start w:val="1"/>
      <w:numFmt w:val="bullet"/>
      <w:lvlText w:val=""/>
      <w:lvlJc w:val="left"/>
      <w:pPr>
        <w:ind w:left="2880" w:hanging="360"/>
      </w:pPr>
      <w:rPr>
        <w:rFonts w:ascii="Symbol" w:hAnsi="Symbol" w:hint="default"/>
      </w:rPr>
    </w:lvl>
    <w:lvl w:ilvl="4" w:tplc="643016A6">
      <w:start w:val="1"/>
      <w:numFmt w:val="bullet"/>
      <w:lvlText w:val="o"/>
      <w:lvlJc w:val="left"/>
      <w:pPr>
        <w:ind w:left="3600" w:hanging="360"/>
      </w:pPr>
      <w:rPr>
        <w:rFonts w:ascii="Courier New" w:hAnsi="Courier New" w:hint="default"/>
      </w:rPr>
    </w:lvl>
    <w:lvl w:ilvl="5" w:tplc="42BEBD4E">
      <w:start w:val="1"/>
      <w:numFmt w:val="bullet"/>
      <w:lvlText w:val=""/>
      <w:lvlJc w:val="left"/>
      <w:pPr>
        <w:ind w:left="4320" w:hanging="360"/>
      </w:pPr>
      <w:rPr>
        <w:rFonts w:ascii="Wingdings" w:hAnsi="Wingdings" w:hint="default"/>
      </w:rPr>
    </w:lvl>
    <w:lvl w:ilvl="6" w:tplc="E8163366">
      <w:start w:val="1"/>
      <w:numFmt w:val="bullet"/>
      <w:lvlText w:val=""/>
      <w:lvlJc w:val="left"/>
      <w:pPr>
        <w:ind w:left="5040" w:hanging="360"/>
      </w:pPr>
      <w:rPr>
        <w:rFonts w:ascii="Symbol" w:hAnsi="Symbol" w:hint="default"/>
      </w:rPr>
    </w:lvl>
    <w:lvl w:ilvl="7" w:tplc="52E0DA14">
      <w:start w:val="1"/>
      <w:numFmt w:val="bullet"/>
      <w:lvlText w:val="o"/>
      <w:lvlJc w:val="left"/>
      <w:pPr>
        <w:ind w:left="5760" w:hanging="360"/>
      </w:pPr>
      <w:rPr>
        <w:rFonts w:ascii="Courier New" w:hAnsi="Courier New" w:hint="default"/>
      </w:rPr>
    </w:lvl>
    <w:lvl w:ilvl="8" w:tplc="B0AC45E8">
      <w:start w:val="1"/>
      <w:numFmt w:val="bullet"/>
      <w:lvlText w:val=""/>
      <w:lvlJc w:val="left"/>
      <w:pPr>
        <w:ind w:left="6480" w:hanging="360"/>
      </w:pPr>
      <w:rPr>
        <w:rFonts w:ascii="Wingdings" w:hAnsi="Wingdings" w:hint="default"/>
      </w:rPr>
    </w:lvl>
  </w:abstractNum>
  <w:abstractNum w:abstractNumId="46" w15:restartNumberingAfterBreak="0">
    <w:nsid w:val="7B732C8F"/>
    <w:multiLevelType w:val="hybridMultilevel"/>
    <w:tmpl w:val="C838B61A"/>
    <w:lvl w:ilvl="0" w:tplc="A8AEAF86">
      <w:start w:val="1"/>
      <w:numFmt w:val="decimal"/>
      <w:lvlText w:val="%1."/>
      <w:lvlJc w:val="left"/>
      <w:pPr>
        <w:ind w:left="360" w:hanging="360"/>
      </w:pPr>
      <w:rPr>
        <w:rFonts w:ascii="Calibri" w:eastAsia="Calibri" w:hAnsi="Calibri" w:cs="Calibr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D433A32"/>
    <w:multiLevelType w:val="hybridMultilevel"/>
    <w:tmpl w:val="14624962"/>
    <w:lvl w:ilvl="0" w:tplc="0C0A0017">
      <w:start w:val="1"/>
      <w:numFmt w:val="lowerLetter"/>
      <w:lvlText w:val="%1)"/>
      <w:lvlJc w:val="left"/>
      <w:pPr>
        <w:ind w:left="720" w:hanging="360"/>
      </w:pPr>
      <w:rPr>
        <w:rFonts w:hint="default"/>
        <w:sz w:val="20"/>
        <w:szCs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4"/>
  </w:num>
  <w:num w:numId="2">
    <w:abstractNumId w:val="23"/>
  </w:num>
  <w:num w:numId="3">
    <w:abstractNumId w:val="1"/>
  </w:num>
  <w:num w:numId="4">
    <w:abstractNumId w:val="28"/>
  </w:num>
  <w:num w:numId="5">
    <w:abstractNumId w:val="17"/>
  </w:num>
  <w:num w:numId="6">
    <w:abstractNumId w:val="13"/>
  </w:num>
  <w:num w:numId="7">
    <w:abstractNumId w:val="7"/>
  </w:num>
  <w:num w:numId="8">
    <w:abstractNumId w:val="44"/>
  </w:num>
  <w:num w:numId="9">
    <w:abstractNumId w:val="9"/>
  </w:num>
  <w:num w:numId="10">
    <w:abstractNumId w:val="10"/>
  </w:num>
  <w:num w:numId="11">
    <w:abstractNumId w:val="41"/>
  </w:num>
  <w:num w:numId="12">
    <w:abstractNumId w:val="46"/>
  </w:num>
  <w:num w:numId="13">
    <w:abstractNumId w:val="8"/>
  </w:num>
  <w:num w:numId="14">
    <w:abstractNumId w:val="12"/>
  </w:num>
  <w:num w:numId="15">
    <w:abstractNumId w:val="31"/>
  </w:num>
  <w:num w:numId="16">
    <w:abstractNumId w:val="26"/>
  </w:num>
  <w:num w:numId="17">
    <w:abstractNumId w:val="2"/>
  </w:num>
  <w:num w:numId="18">
    <w:abstractNumId w:val="16"/>
  </w:num>
  <w:num w:numId="19">
    <w:abstractNumId w:val="33"/>
  </w:num>
  <w:num w:numId="20">
    <w:abstractNumId w:val="14"/>
  </w:num>
  <w:num w:numId="21">
    <w:abstractNumId w:val="22"/>
  </w:num>
  <w:num w:numId="22">
    <w:abstractNumId w:val="32"/>
  </w:num>
  <w:num w:numId="23">
    <w:abstractNumId w:val="25"/>
  </w:num>
  <w:num w:numId="24">
    <w:abstractNumId w:val="37"/>
  </w:num>
  <w:num w:numId="25">
    <w:abstractNumId w:val="5"/>
  </w:num>
  <w:num w:numId="26">
    <w:abstractNumId w:val="36"/>
  </w:num>
  <w:num w:numId="27">
    <w:abstractNumId w:val="19"/>
  </w:num>
  <w:num w:numId="28">
    <w:abstractNumId w:val="35"/>
  </w:num>
  <w:num w:numId="29">
    <w:abstractNumId w:val="27"/>
  </w:num>
  <w:num w:numId="30">
    <w:abstractNumId w:val="15"/>
  </w:num>
  <w:num w:numId="31">
    <w:abstractNumId w:val="47"/>
  </w:num>
  <w:num w:numId="32">
    <w:abstractNumId w:val="0"/>
  </w:num>
  <w:num w:numId="33">
    <w:abstractNumId w:val="40"/>
  </w:num>
  <w:num w:numId="34">
    <w:abstractNumId w:val="24"/>
  </w:num>
  <w:num w:numId="35">
    <w:abstractNumId w:val="43"/>
  </w:num>
  <w:num w:numId="36">
    <w:abstractNumId w:val="11"/>
  </w:num>
  <w:num w:numId="37">
    <w:abstractNumId w:val="45"/>
  </w:num>
  <w:num w:numId="38">
    <w:abstractNumId w:val="30"/>
  </w:num>
  <w:num w:numId="39">
    <w:abstractNumId w:val="3"/>
  </w:num>
  <w:num w:numId="40">
    <w:abstractNumId w:val="39"/>
  </w:num>
  <w:num w:numId="41">
    <w:abstractNumId w:val="29"/>
  </w:num>
  <w:num w:numId="42">
    <w:abstractNumId w:val="21"/>
  </w:num>
  <w:num w:numId="43">
    <w:abstractNumId w:val="20"/>
  </w:num>
  <w:num w:numId="44">
    <w:abstractNumId w:val="18"/>
  </w:num>
  <w:num w:numId="45">
    <w:abstractNumId w:val="38"/>
  </w:num>
  <w:num w:numId="46">
    <w:abstractNumId w:val="42"/>
  </w:num>
  <w:num w:numId="47">
    <w:abstractNumId w:val="4"/>
  </w:num>
  <w:num w:numId="48">
    <w:abstractNumId w:val="6"/>
  </w:num>
  <w:num w:numId="49">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PS_DownloadWasCheckedOut" w:val="False"/>
    <w:docVar w:name="TPS_Field_ISBN" w:val="11165-4"/>
    <w:docVar w:name="TPS_Field_Job number" w:val="211322"/>
    <w:docVar w:name="TPS_Field_Language" w:val="English"/>
    <w:docVar w:name="TPS_Field_Pub title in running head" w:val="GUIDE TO THE WMO INTEGRATED GLOBAL OBSERVING SYSTEM"/>
    <w:docVar w:name="TPS_Field_Updated in" w:val="Updated in 2021"/>
    <w:docVar w:name="TPS_Field_WMO-number" w:val="1165"/>
    <w:docVar w:name="TPS_Field_Year" w:val="2019"/>
    <w:docVar w:name="TPS_LastUsedHyperlinkSourceID" w:val="723DDAFE-725F-B740-95EC-F305E87C48C7"/>
    <w:docVar w:name="TPS_LastUsedWorkflowName" w:val="Manuals_Guides/PDF for web.typefi_workflow"/>
    <w:docVar w:name="TPS_TSS_1" w:val="&lt;tss&gt;&lt;filename&gt;Manuals_Guides/PDF for web.typefi_workflow&lt;/filename&gt;&lt;retrieved&gt;2022-02-17T14:07:44.021320700Z&lt;/retrieved&gt;&lt;server&gt;https://cloud.typefi.net&lt;/server&gt;&lt;customer&gt;WMO&lt;/customer&gt;&lt;templates&gt;&lt;filename&gt;Manuals_Guides/Templates/Manuals_Guides.indd&lt;/filename&gt;&lt;/templates&gt;&lt;fields&gt;&lt;name&gt;ISBN&lt;/name&gt;&lt;type&gt;text&lt;/type&gt;&lt;/fields&gt;&lt;fields&gt;&lt;name&gt;Job number&lt;/name&gt;&lt;type&gt;text&lt;/type&gt;&lt;/fields&gt;&lt;fields&gt;&lt;name&gt;Language&lt;/name&gt;&lt;type&gt;text&lt;/type&gt;&lt;/fields&gt;&lt;fields&gt;&lt;name&gt;Pub title in running head&lt;/name&gt;&lt;type&gt;text&lt;/type&gt;&lt;/fields&gt;&lt;fields&gt;&lt;name&gt;Updated in&lt;/name&gt;&lt;type&gt;text&lt;/type&gt;&lt;/fields&gt;&lt;fields&gt;&lt;name&gt;WMO-number&lt;/name&gt;&lt;type&gt;text&lt;/type&gt;&lt;/fields&gt;&lt;fields&gt;&lt;name&gt;Year&lt;/name&gt;&lt;type&gt;text&lt;/type&gt;&lt;/fields&gt;&lt;conditions&gt;&lt;name&gt;PDF only&lt;/name&gt;&lt;status&gt;true&lt;/status&gt;&lt;color&gt;#abe1fd&lt;/color&gt;&lt;/conditions&gt;&lt;sections&gt;&lt;name&gt;BC-Back cover&lt;/name&gt;&lt;type&gt;mainStory&lt;/type&gt;&lt;spreads&gt;BC-Back cover&lt;/spreads&gt;&lt;/sections&gt;&lt;sections&gt;&lt;name&gt;BC-Back cover CSG&lt;/name&gt;&lt;type&gt;mainStory&lt;/type&gt;&lt;spreads&gt;BC-Back cover CSG&lt;/spreads&gt;&lt;/sections&gt;&lt;sections&gt;&lt;name&gt;Chapter&lt;/name&gt;&lt;type&gt;mainStory&lt;/type&gt;&lt;fields&gt;&lt;type&gt;text&lt;/type&gt;&lt;name&gt;Chapter title in running head&lt;/name&gt;&lt;/fields&gt;&lt;spreads&gt;Cfp-Chapter first page&lt;/spreads&gt;&lt;spreads&gt;IP-Inside pages&lt;/spreads&gt;&lt;/sections&gt;&lt;sections&gt;&lt;name&gt;Chapter First&lt;/name&gt;&lt;type&gt;mainStory&lt;/type&gt;&lt;fields&gt;&lt;type&gt;text&lt;/type&gt;&lt;name&gt;Chapter title in running head&lt;/name&gt;&lt;/fields&gt;&lt;spreads&gt;Cfp-Chapter first page&lt;/spreads&gt;&lt;spreads&gt;IP-Inside pages&lt;/spreads&gt;&lt;/sections&gt;&lt;sections&gt;&lt;name&gt;Chapter First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Cfp-Chapter first page&lt;/spreads&gt;&lt;spreads&gt;IP-Inside pages&lt;/spreads&gt;&lt;/sections&gt;&lt;sections&gt;&lt;name&gt;Chapter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Cfp-Chapter first page&lt;/spreads&gt;&lt;spreads&gt;IP-Inside pages&lt;/spreads&gt;&lt;/sections&gt;&lt;sections&gt;&lt;name&gt;Cover green&lt;/name&gt;&lt;type&gt;mainStory&lt;/type&gt;&lt;spreads&gt;Co-Cover green&lt;/spreads&gt;&lt;/sections&gt;&lt;sections&gt;&lt;name&gt;Cover guidelines&lt;/name&gt;&lt;type&gt;mainStory&lt;/type&gt;&lt;spreads&gt;Co-Cover guidelines&lt;/spreads&gt;&lt;/sections&gt;&lt;sections&gt;&lt;name&gt;Cover red&lt;/name&gt;&lt;type&gt;mainStory&lt;/type&gt;&lt;spreads&gt;Co-Cover red&lt;/spreads&gt;&lt;/sections&gt;&lt;sections&gt;&lt;name&gt;Divider page&lt;/name&gt;&lt;type&gt;mainStory&lt;/type&gt;&lt;fields&gt;&lt;type&gt;text&lt;/type&gt;&lt;name&gt;Chapter_ID&lt;/name&gt;&lt;/fields&gt;&lt;spreads&gt;D-Divider page&lt;/spreads&gt;&lt;/sections&gt;&lt;sections&gt;&lt;name&gt;Endnotes&lt;/name&gt;&lt;type&gt;endnote&lt;/type&gt;&lt;fields&gt;&lt;type&gt;text&lt;/type&gt;&lt;name&gt;Chapter title in running head&lt;/name&gt;&lt;/fields&gt;&lt;spreads&gt;EN-Endnotes&lt;/spreads&gt;&lt;/sections&gt;&lt;sections&gt;&lt;name&gt;ePub Back cover&lt;/name&gt;&lt;type&gt;mainStory&lt;/type&gt;&lt;spreads&gt;ePub-Back_cover&lt;/spreads&gt;&lt;/sections&gt;&lt;sections&gt;&lt;name&gt;Ignore&lt;/name&gt;&lt;type&gt;mainStory&lt;/type&gt;&lt;fields&gt;&lt;type&gt;text&lt;/type&gt;&lt;name&gt;Chapter title in running head&lt;/name&gt;&lt;/fields&gt;&lt;spreads&gt;IP-Inside pages&lt;/spreads&gt;&lt;/sections&gt;&lt;sections&gt;&lt;name&gt;Ignore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IP-Inside pages&lt;/spreads&gt;&lt;/sections&gt;&lt;sections&gt;&lt;name&gt;ISBN-1061&lt;/name&gt;&lt;type&gt;mainStory&lt;/type&gt;&lt;spreads&gt;ISBN-1061&lt;/spreads&gt;&lt;/sections&gt;&lt;sections&gt;&lt;name&gt;ISBN-1182&lt;/name&gt;&lt;type&gt;mainStory&lt;/type&gt;&lt;spreads&gt;ISBN-1182&lt;/spreads&gt;&lt;/sections&gt;&lt;sections&gt;&lt;name&gt;ISBN-Guides&lt;/name&gt;&lt;type&gt;mainStory&lt;/type&gt;&lt;spreads&gt;ISBN-Guides&lt;/spreads&gt;&lt;/sections&gt;&lt;sections&gt;&lt;name&gt;ISBN-long&lt;/name&gt;&lt;type&gt;mainStory&lt;/type&gt;&lt;spreads&gt;ISBN-long&lt;/spreads&gt;&lt;/sections&gt;&lt;sections&gt;&lt;name&gt;ISBN-Long_with_URLs&lt;/name&gt;&lt;type&gt;mainStory&lt;/type&gt;&lt;spreads&gt;ISBN-Long_with_URLs&lt;/spreads&gt;&lt;/sections&gt;&lt;sections&gt;&lt;name&gt;ISBN-short&lt;/name&gt;&lt;type&gt;mainStory&lt;/type&gt;&lt;spreads&gt;ISBN-short&lt;/spreads&gt;&lt;/sections&gt;&lt;sections&gt;&lt;name&gt;ISBN-URLs&lt;/name&gt;&lt;type&gt;mainStory&lt;/type&gt;&lt;spreads&gt;ISBN-URLs&lt;/spreads&gt;&lt;/sections&gt;&lt;sections&gt;&lt;name&gt;ISBN_no_editorial_note&lt;/name&gt;&lt;type&gt;mainStory&lt;/type&gt;&lt;spreads&gt;ISBN-no_editorial_note&lt;/spreads&gt;&lt;/sections&gt;&lt;sections&gt;&lt;name&gt;Landscape chapter&lt;/name&gt;&lt;type&gt;mainStory&lt;/type&gt;&lt;fields&gt;&lt;type&gt;text&lt;/type&gt;&lt;name&gt;Chapter title in running head&lt;/name&gt;&lt;/fields&gt;&lt;spreads&gt;CfpL-Chapter first page landscape&lt;/spreads&gt;&lt;spreads&gt;LS-Landscape&lt;/spreads&gt;&lt;/sections&gt;&lt;sections&gt;&lt;name&gt;Landscape chapter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CfpL-Chapter first page landscape&lt;/spreads&gt;&lt;spreads&gt;LS-Landscape&lt;/spreads&gt;&lt;/sections&gt;&lt;sections&gt;&lt;name&gt;Landscape page with header&lt;/name&gt;&lt;type&gt;mainStory&lt;/type&gt;&lt;fields&gt;&lt;type&gt;text&lt;/type&gt;&lt;name&gt;Chapter title in running head&lt;/name&gt;&lt;/fields&gt;&lt;spreads&gt;LS-Landscape&lt;/spreads&gt;&lt;/sections&gt;&lt;sections&gt;&lt;name&gt;Landscape page with header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LS-Landscape&lt;/spreads&gt;&lt;/sections&gt;&lt;sections&gt;&lt;name&gt;Pr-Preliminary_pages&lt;/name&gt;&lt;type&gt;mainStory&lt;/type&gt;&lt;fields&gt;&lt;type&gt;text&lt;/type&gt;&lt;name&gt;Chapter title in running head&lt;/name&gt;&lt;/fields&gt;&lt;spreads&gt;Pr-Preliminary pages&lt;/spreads&gt;&lt;spreads&gt;Pr-Preliminary&lt;/spreads&gt;&lt;/sections&gt;&lt;sections&gt;&lt;name&gt;Preliminary_pages_book&lt;/name&gt;&lt;type&gt;mainStory&lt;/type&gt;&lt;fields&gt;&lt;type&gt;text&lt;/type&gt;&lt;name&gt;Chapter title in running head&lt;/name&gt;&lt;/fields&gt;&lt;fields&gt;&lt;type&gt;text&lt;/type&gt;&lt;name&gt;Part title in running head&lt;/name&gt;&lt;/fields&gt;&lt;spreads&gt;Pr-Preliminary pages&lt;/spreads&gt;&lt;spreads&gt;Pr-Preliminary&lt;/spreads&gt;&lt;/sections&gt;&lt;sections&gt;&lt;name&gt;Revision_table&lt;/name&gt;&lt;type&gt;mainStory&lt;/type&gt;&lt;spreads&gt;Pr-Preliminary pages&lt;/spreads&gt;&lt;/sections&gt;&lt;sections&gt;&lt;name&gt;Table_of_contents&lt;/name&gt;&lt;type&gt;toc&lt;/type&gt;&lt;spreads&gt;TOC-Table of contents First page&lt;/spreads&gt;&lt;spreads&gt;TOC-Table of contents&lt;/spreads&gt;&lt;/sections&gt;&lt;sections&gt;&lt;name&gt;Table_of_Contents_Book&lt;/name&gt;&lt;type&gt;mainStory&lt;/type&gt;&lt;fields&gt;&lt;type&gt;text&lt;/type&gt;&lt;name&gt;Chapter title in running head&lt;/name&gt;&lt;/fields&gt;&lt;fields&gt;&lt;type&gt;text&lt;/type&gt;&lt;name&gt;Chapter_ID&lt;/name&gt;&lt;/fields&gt;&lt;fields&gt;&lt;type&gt;text&lt;/type&gt;&lt;name&gt;Part title in running head&lt;/name&gt;&lt;/fields&gt;&lt;spreads&gt;TOCB-Contents Book&lt;/spreads&gt;&lt;spreads&gt;ToCB-Inside pages Book&lt;/spreads&gt;&lt;/sections&gt;&lt;sections&gt;&lt;name&gt;Table_of_Contents_Chapter&lt;/name&gt;&lt;type&gt;mainStory&lt;/type&gt;&lt;fields&gt;&lt;type&gt;text&lt;/type&gt;&lt;name&gt;Chapter title in running head&lt;/name&gt;&lt;/fields&gt;&lt;fields&gt;&lt;type&gt;text&lt;/type&gt;&lt;name&gt;Chapter_ID&lt;/name&gt;&lt;/fields&gt;&lt;fields&gt;&lt;type&gt;text&lt;/type&gt;&lt;name&gt;Part title in running head&lt;/name&gt;&lt;/fields&gt;&lt;spreads&gt;TOCC-Table of Contents first page Chapter&lt;/spreads&gt;&lt;spreads&gt;ToCC-Table of Contents inside pages Chapter&lt;/spreads&gt;&lt;/sections&gt;&lt;sections&gt;&lt;name&gt;Table_of_Contents_CODES&lt;/name&gt;&lt;type&gt;toc&lt;/type&gt;&lt;spreads&gt;ToC-Contents CODES first page&lt;/spreads&gt;&lt;spreads&gt;ToC-Contents CODES&lt;/spreads&gt;&lt;/sections&gt;&lt;sections&gt;&lt;name&gt;Table_of_Contents_Guidelines&lt;/name&gt;&lt;type&gt;toc&lt;/type&gt;&lt;spreads&gt;ToCG-Contents GUIDELINES first page&lt;/spreads&gt;&lt;spreads&gt;ToCG-Contents GUIDELINES&lt;/spreads&gt;&lt;/sections&gt;&lt;sections&gt;&lt;name&gt;Table_of_Contents_Guidelines_No_Indent&lt;/name&gt;&lt;type&gt;toc&lt;/type&gt;&lt;spreads&gt;TOC-Contents GUIDELINES No indent first page&lt;/spreads&gt;&lt;spreads&gt;TOC-Contents GUIDELINES No indent&lt;/spreads&gt;&lt;/sections&gt;&lt;sections&gt;&lt;name&gt;Table_of_Contents_Part&lt;/name&gt;&lt;type&gt;mainStory&lt;/type&gt;&lt;fields&gt;&lt;type&gt;text&lt;/type&gt;&lt;name&gt;Chapter title in running head&lt;/name&gt;&lt;/fields&gt;&lt;fields&gt;&lt;type&gt;text&lt;/type&gt;&lt;name&gt;Chapter_ID&lt;/name&gt;&lt;/fields&gt;&lt;fields&gt;&lt;type&gt;text&lt;/type&gt;&lt;name&gt;Part title in running head&lt;/name&gt;&lt;/fields&gt;&lt;spreads&gt;TOCP-Contents Part&lt;/spreads&gt;&lt;spreads&gt;ToCP-Inside pages Part&lt;/spreads&gt;&lt;/sections&gt;&lt;sections&gt;&lt;name&gt;Table_of_contents_Procedures&lt;/name&gt;&lt;type&gt;toc&lt;/type&gt;&lt;spreads&gt;TOC-Table of contents Procedures First page&lt;/spreads&gt;&lt;spreads&gt;TOC-Table of contents Procedures&lt;/spreads&gt;&lt;/sections&gt;&lt;sections&gt;&lt;name&gt;TitlePage&lt;/name&gt;&lt;type&gt;mainStory&lt;/type&gt;&lt;spreads&gt;TP-Title page&lt;/spreads&gt;&lt;/sections&gt;&lt;paragraphStyles&gt;&lt;name&gt;COVER TITLE&lt;/name&gt;&lt;nextStyle&gt;&lt;/nextStyle&gt;&lt;/paragraphStyles&gt;&lt;paragraphStyles&gt;&lt;name&gt;COVER subtitle&lt;/name&gt;&lt;nextStyle&gt;&lt;/nextStyle&gt;&lt;/paragraphStyles&gt;&lt;paragraphStyles&gt;&lt;name&gt;COVER sub-subtitle&lt;/name&gt;&lt;nextStyle&gt;&lt;/nextStyle&gt;&lt;/paragraphStyles&gt;&lt;paragraphStyles&gt;&lt;name&gt;TITLE PAGE&lt;/name&gt;&lt;nextStyle&gt;&lt;/nextStyle&gt;&lt;/paragraphStyles&gt;&lt;paragraphStyles&gt;&lt;name&gt;TITLE PAGE subtitle&lt;/name&gt;&lt;nextStyle&gt;&lt;/nextStyle&gt;&lt;/paragraphStyles&gt;&lt;paragraphStyles&gt;&lt;name&gt;TITLE PAGE sub-subtitle&lt;/name&gt;&lt;nextStyle&gt;&lt;/nextStyle&gt;&lt;/paragraphStyles&gt;&lt;paragraphStyles&gt;&lt;name&gt;ZZZZZZZZZZZZZZZZZZZZZZZZZZ&lt;/name&gt;&lt;nextStyle&gt;&lt;/nextStyle&gt;&lt;/paragraphStyles&gt;&lt;paragraphStyles&gt;&lt;name&gt;Overset Warning Head&lt;/name&gt;&lt;nextStyle&gt;Overset Warning Head&lt;/nextStyle&gt;&lt;/paragraphStyles&gt;&lt;paragraphStyles&gt;&lt;name&gt;Overset Warning Details&lt;/name&gt;&lt;nextStyle&gt;Overset Warning Details&lt;/nextStyle&gt;&lt;/paragraphStyles&gt;&lt;paragraphStyles&gt;&lt;name&gt;Part title&lt;/name&gt;&lt;nextStyle&gt;&lt;/nextStyle&gt;&lt;/paragraphStyles&gt;&lt;paragraphStyles&gt;&lt;name&gt;Title divider page&lt;/name&gt;&lt;nextStyle&gt;&lt;/nextStyle&gt;&lt;/paragraphStyles&gt;&lt;paragraphStyles&gt;&lt;name&gt;Chapter head&lt;/name&gt;&lt;nextStyle&gt;&lt;/nextStyle&gt;&lt;/paragraphStyles&gt;&lt;paragraphStyles&gt;&lt;name&gt;Chapter head for TOC keep with next&lt;/name&gt;&lt;nextStyle&gt;&lt;/nextStyle&gt;&lt;/paragraphStyles&gt;&lt;paragraphStyles&gt;&lt;name&gt;Chapter head NO ToC&lt;/name&gt;&lt;nextStyle&gt;&lt;/nextStyle&gt;&lt;/paragraphStyles&gt;&lt;paragraphStyles&gt;&lt;name&gt;Chapter head AnxRef&lt;/name&gt;&lt;nextStyle&gt;&lt;/nextStyle&gt;&lt;/paragraphStyles&gt;&lt;paragraphStyles&gt;&lt;name&gt;Chapter head AnxRef NO ToC&lt;/name&gt;&lt;nextStyle&gt;&lt;/nextStyle&gt;&lt;/paragraphStyles&gt;&lt;paragraphStyles&gt;&lt;name&gt;Heading_centred&lt;/name&gt;&lt;nextStyle&gt;&lt;/nextStyle&gt;&lt;/paragraphStyles&gt;&lt;paragraphStyles&gt;&lt;name&gt;Chapter head NOT running head&lt;/name&gt;&lt;nextStyle&gt;&lt;/nextStyle&gt;&lt;/paragraphStyles&gt;&lt;paragraphStyles&gt;&lt;name&gt;Chapter_subhead&lt;/name&gt;&lt;nextStyle&gt;&lt;/nextStyle&gt;&lt;/paragraphStyles&gt;&lt;paragraphStyles&gt;&lt;name&gt;Heading_1&lt;/name&gt;&lt;nextStyle&gt;&lt;/nextStyle&gt;&lt;/paragraphStyles&gt;&lt;paragraphStyles&gt;&lt;name&gt;Heading_1 for TOC keep with next&lt;/name&gt;&lt;nextStyle&gt;&lt;/nextStyle&gt;&lt;/paragraphStyles&gt;&lt;paragraphStyles&gt;&lt;name&gt;Heading_1 NO indent&lt;/name&gt;&lt;nextStyle&gt;&lt;/nextStyle&gt;&lt;/paragraphStyles&gt;&lt;paragraphStyles&gt;&lt;name&gt;Heading_1 NO Toc NO indent&lt;/name&gt;&lt;nextStyle&gt;&lt;/nextStyle&gt;&lt;/paragraphStyles&gt;&lt;paragraphStyles&gt;&lt;name&gt;Heading_1 NO ToC&lt;/name&gt;&lt;nextStyle&gt;&lt;/nextStyle&gt;&lt;/paragraphStyles&gt;&lt;paragraphStyles&gt;&lt;name&gt;Heading_2&lt;/name&gt;&lt;nextStyle&gt;&lt;/nextStyle&gt;&lt;/paragraphStyles&gt;&lt;paragraphStyles&gt;&lt;name&gt;Heading_2 for TOC keep with next&lt;/name&gt;&lt;nextStyle&gt;&lt;/nextStyle&gt;&lt;/paragraphStyles&gt;&lt;paragraphStyles&gt;&lt;name&gt;Heading_2 NO indent&lt;/name&gt;&lt;nextStyle&gt;&lt;/nextStyle&gt;&lt;/paragraphStyles&gt;&lt;paragraphStyles&gt;&lt;name&gt;Heading_2_NO_ToC&lt;/name&gt;&lt;nextStyle&gt;&lt;/nextStyle&gt;&lt;/paragraphStyles&gt;&lt;paragraphStyles&gt;&lt;name&gt;Heading_2 NO Toc NO indent&lt;/name&gt;&lt;nextStyle&gt;&lt;/nextStyle&gt;&lt;/paragraphStyles&gt;&lt;paragraphStyles&gt;&lt;name&gt;Heading_3&lt;/name&gt;&lt;nextStyle&gt;&lt;/nextStyle&gt;&lt;/paragraphStyles&gt;&lt;paragraphStyles&gt;&lt;name&gt;Heading_3_NO_ToC&lt;/name&gt;&lt;nextStyle&gt;&lt;/nextStyle&gt;&lt;/paragraphStyles&gt;&lt;paragraphStyles&gt;&lt;name&gt;Heading_4&lt;/name&gt;&lt;nextStyle&gt;&lt;/nextStyle&gt;&lt;/paragraphStyles&gt;&lt;paragraphStyles&gt;&lt;name&gt;Heading_5&lt;/name&gt;&lt;nextStyle&gt;&lt;/nextStyle&gt;&lt;/paragraphStyles&gt;&lt;paragraphStyles&gt;&lt;name&gt;Heading_6&lt;/name&gt;&lt;nextStyle&gt;&lt;/nextStyle&gt;&lt;/paragraphStyles&gt;&lt;paragraphStyles&gt;&lt;name&gt;Subheading_1&lt;/name&gt;&lt;nextStyle&gt;&lt;/nextStyle&gt;&lt;/paragraphStyles&gt;&lt;paragraphStyles&gt;&lt;name&gt;Subheading_2&lt;/name&gt;&lt;nextStyle&gt;&lt;/nextStyle&gt;&lt;/paragraphStyles&gt;&lt;paragraphStyles&gt;&lt;name&gt;Codes_heading_FM&lt;/name&gt;&lt;nextStyle&gt;&lt;/nextStyle&gt;&lt;/paragraphStyles&gt;&lt;paragraphStyles&gt;&lt;name&gt;Codes_heading_Ext&lt;/name&gt;&lt;nextStyle&gt;&lt;/nextStyle&gt;&lt;/paragraphStyles&gt;&lt;paragraphStyles&gt;&lt;name&gt;Heading_Revision_table&lt;/name&gt;&lt;nextStyle&gt;&lt;/nextStyle&gt;&lt;/paragraphStyles&gt;&lt;paragraphStyles&gt;&lt;name&gt;Body_text&lt;/name&gt;&lt;nextStyle&gt;&lt;/nextStyle&gt;&lt;/paragraphStyles&gt;&lt;paragraphStyles&gt;&lt;name&gt;Codes_body_text_Ext&lt;/name&gt;&lt;nextStyle&gt;&lt;/nextStyle&gt;&lt;/paragraphStyles&gt;&lt;paragraphStyles&gt;&lt;name&gt;Keep_next_body_text&lt;/name&gt;&lt;nextStyle&gt;&lt;/nextStyle&gt;&lt;/paragraphStyles&gt;&lt;paragraphStyles&gt;&lt;name&gt;Body text semibold&lt;/name&gt;&lt;nextStyle&gt;&lt;/nextStyle&gt;&lt;/paragraphStyles&gt;&lt;paragraphStyles&gt;&lt;name&gt;Definitions and others&lt;/name&gt;&lt;nextStyle&gt;&lt;/nextStyle&gt;&lt;/paragraphStyles&gt;&lt;paragraphStyles&gt;&lt;name&gt;Courier indent&lt;/name&gt;&lt;nextStyle&gt;&lt;/nextStyle&gt;&lt;/paragraphStyles&gt;&lt;paragraphStyles&gt;&lt;name&gt;Courier indent NO space after&lt;/name&gt;&lt;nextStyle&gt;&lt;/nextStyle&gt;&lt;/paragraphStyles&gt;&lt;paragraphStyles&gt;&lt;name&gt;Courier shaded&lt;/name&gt;&lt;nextStyle&gt;&lt;/nextStyle&gt;&lt;/paragraphStyles&gt;&lt;paragraphStyles&gt;&lt;name&gt;Courier box blue border&lt;/name&gt;&lt;nextStyle&gt;&lt;/nextStyle&gt;&lt;/paragraphStyles&gt;&lt;paragraphStyles&gt;&lt;name&gt;Footnote Text&lt;/name&gt;&lt;nextStyle&gt;&lt;/nextStyle&gt;&lt;/paragraphStyles&gt;&lt;paragraphStyles&gt;&lt;name&gt;Endnote Text&lt;/name&gt;&lt;nextStyle&gt;&lt;/nextStyle&gt;&lt;/paragraphStyles&gt;&lt;paragraphStyles&gt;&lt;name&gt;Footnote before table&lt;/name&gt;&lt;nextStyle&gt;&lt;/nextStyle&gt;&lt;/paragraphStyles&gt;&lt;paragraphStyles&gt;&lt;name&gt;Footnote after table&lt;/name&gt;&lt;nextStyle&gt;&lt;/nextStyle&gt;&lt;/paragraphStyles&gt;&lt;paragraphStyles&gt;&lt;name&gt;Note&lt;/name&gt;&lt;nextStyle&gt;&lt;/nextStyle&gt;&lt;/paragraphStyles&gt;&lt;paragraphStyles&gt;&lt;name&gt;Note space before&lt;/name&gt;&lt;nextStyle&gt;&lt;/nextStyle&gt;&lt;/paragraphStyles&gt;&lt;paragraphStyles&gt;&lt;name&gt;Indent 1_note&lt;/name&gt;&lt;nextStyle&gt;&lt;/nextStyle&gt;&lt;/paragraphStyles&gt;&lt;paragraphStyles&gt;&lt;name&gt;Indent 2_note&lt;/name&gt;&lt;nextStyle&gt;&lt;/nextStyle&gt;&lt;/paragraphStyles&gt;&lt;paragraphStyles&gt;&lt;name&gt;Notes heading&lt;/name&gt;&lt;nextStyle&gt;&lt;/nextStyle&gt;&lt;/paragraphStyles&gt;&lt;paragraphStyles&gt;&lt;name&gt;Indent 1_Notes heading&lt;/name&gt;&lt;nextStyle&gt;&lt;/nextStyle&gt;&lt;/paragraphStyles&gt;&lt;paragraphStyles&gt;&lt;name&gt;Notes 1&lt;/name&gt;&lt;nextStyle&gt;&lt;/nextStyle&gt;&lt;/paragraphStyles&gt;&lt;paragraphStyles&gt;&lt;name&gt;Indent 1_Notes 1&lt;/name&gt;&lt;nextStyle&gt;&lt;/nextStyle&gt;&lt;/paragraphStyles&gt;&lt;paragraphStyles&gt;&lt;name&gt;Keep_next_indent_1&lt;/name&gt;&lt;nextStyle&gt;&lt;/nextStyle&gt;&lt;/paragraphStyles&gt;&lt;paragraphStyles&gt;&lt;name&gt;Notes 2&lt;/name&gt;&lt;nextStyle&gt;&lt;/nextStyle&gt;&lt;/paragraphStyles&gt;&lt;paragraphStyles&gt;&lt;name&gt;Notes 3&lt;/name&gt;&lt;nextStyle&gt;&lt;/nextStyle&gt;&lt;/paragraphStyles&gt;&lt;paragraphStyles&gt;&lt;name&gt;Quotes&lt;/name&gt;&lt;nextStyle&gt;&lt;/nextStyle&gt;&lt;/paragraphStyles&gt;&lt;paragraphStyles&gt;&lt;name&gt;Quotes tab&lt;/name&gt;&lt;nextStyle&gt;&lt;/nextStyle&gt;&lt;/paragraphStyles&gt;&lt;paragraphStyles&gt;&lt;name&gt;Quotes tab space after&lt;/name&gt;&lt;nextStyle&gt;&lt;/nextStyle&gt;&lt;/paragraphStyles&gt;&lt;paragraphStyles&gt;&lt;name&gt;Quote semi bold&lt;/name&gt;&lt;nextStyle&gt;&lt;/nextStyle&gt;&lt;/paragraphStyles&gt;&lt;paragraphStyles&gt;&lt;name&gt;References&lt;/name&gt;&lt;nextStyle&gt;&lt;/nextStyle&gt;&lt;/paragraphStyles&gt;&lt;paragraphStyles&gt;&lt;name&gt;References keep with next&lt;/name&gt;&lt;nextStyle&gt;&lt;/nextStyle&gt;&lt;/paragraphStyles&gt;&lt;paragraphStyles&gt;&lt;name&gt;Signature&lt;/name&gt;&lt;nextStyle&gt;&lt;/nextStyle&gt;&lt;/paragraphStyles&gt;&lt;paragraphStyles&gt;&lt;name&gt;Equation&lt;/name&gt;&lt;nextStyle&gt;&lt;/nextStyle&gt;&lt;/paragraphStyles&gt;&lt;paragraphStyles&gt;&lt;name&gt;Indent 1&lt;/name&gt;&lt;nextStyle&gt;&lt;/nextStyle&gt;&lt;/paragraphStyles&gt;&lt;paragraphStyles&gt;&lt;name&gt;Indent 2&lt;/name&gt;&lt;nextStyle&gt;&lt;/nextStyle&gt;&lt;/paragraphStyles&gt;&lt;paragraphStyles&gt;&lt;name&gt;Indent 3&lt;/name&gt;&lt;nextStyle&gt;&lt;/nextStyle&gt;&lt;/paragraphStyles&gt;&lt;paragraphStyles&gt;&lt;name&gt;Indent 4&lt;/name&gt;&lt;nextStyle&gt;&lt;/nextStyle&gt;&lt;/paragraphStyles&gt;&lt;paragraphStyles&gt;&lt;name&gt;Indent 5&lt;/name&gt;&lt;nextStyle&gt;&lt;/nextStyle&gt;&lt;/paragraphStyles&gt;&lt;paragraphStyles&gt;&lt;name&gt;Indent 1 semi bold&lt;/name&gt;&lt;nextStyle&gt;&lt;/nextStyle&gt;&lt;/paragraphStyles&gt;&lt;paragraphStyles&gt;&lt;name&gt;Indent 2 semi bold&lt;/name&gt;&lt;nextStyle&gt;&lt;/nextStyle&gt;&lt;/paragraphStyles&gt;&lt;paragraphStyles&gt;&lt;name&gt;Indent 3 semi bold&lt;/name&gt;&lt;nextStyle&gt;&lt;/nextStyle&gt;&lt;/paragraphStyles&gt;&lt;paragraphStyles&gt;&lt;name&gt;Indent 4 semi bold&lt;/name&gt;&lt;nextStyle&gt;&lt;/nextStyle&gt;&lt;/paragraphStyles&gt;&lt;paragraphStyles&gt;&lt;name&gt;Indent 5 semi bold&lt;/name&gt;&lt;nextStyle&gt;&lt;/nextStyle&gt;&lt;/paragraphStyles&gt;&lt;paragraphStyles&gt;&lt;name&gt;Indent 5 semibold&lt;/name&gt;&lt;nextStyle&gt;&lt;/nextStyle&gt;&lt;/paragraphStyles&gt;&lt;paragraphStyles&gt;&lt;name&gt;Indent 1 semi bold NO space after&lt;/name&gt;&lt;nextStyle&gt;&lt;/nextStyle&gt;&lt;/paragraphStyles&gt;&lt;paragraphStyles&gt;&lt;name&gt;Indent 2 semi bold NO space after&lt;/name&gt;&lt;nextStyle&gt;&lt;/nextStyle&gt;&lt;/paragraphStyles&gt;&lt;paragraphStyles&gt;&lt;name&gt;Indent 3 semi bold NO space after&lt;/name&gt;&lt;nextStyle&gt;&lt;/nextStyle&gt;&lt;/paragraphStyles&gt;&lt;paragraphStyles&gt;&lt;name&gt;Indent 4 semi bold NO space after&lt;/name&gt;&lt;nextStyle&gt;&lt;/nextStyle&gt;&lt;/paragraphStyles&gt;&lt;paragraphStyles&gt;&lt;name&gt;Indent 5 semi bold NO space after&lt;/name&gt;&lt;nextStyle&gt;&lt;/nextStyle&gt;&lt;/paragraphStyles&gt;&lt;paragraphStyles&gt;&lt;name&gt;Indent 1 NO space after&lt;/name&gt;&lt;nextStyle&gt;&lt;/nextStyle&gt;&lt;/paragraphStyles&gt;&lt;paragraphStyles&gt;&lt;name&gt;Indent 2 NO space after&lt;/name&gt;&lt;nextStyle&gt;&lt;/nextStyle&gt;&lt;/paragraphStyles&gt;&lt;paragraphStyles&gt;&lt;name&gt;Indent 3 NO space after&lt;/name&gt;&lt;nextStyle&gt;&lt;/nextStyle&gt;&lt;/paragraphStyles&gt;&lt;paragraphStyles&gt;&lt;name&gt;Indent 4 NO space after&lt;/name&gt;&lt;nextStyle&gt;&lt;/nextStyle&gt;&lt;/paragraphStyles&gt;&lt;paragraphStyles&gt;&lt;name&gt;Indent 5 NO space after&lt;/name&gt;&lt;nextStyle&gt;&lt;/nextStyle&gt;&lt;/paragraphStyles&gt;&lt;paragraphStyles&gt;&lt;name&gt;THE END _____&lt;/name&gt;&lt;nextStyle&gt;&lt;/nextStyle&gt;&lt;/paragraphStyles&gt;&lt;paragraphStyles&gt;&lt;name&gt;THE END _____ landscape&lt;/name&gt;&lt;nextStyle&gt;&lt;/nextStyle&gt;&lt;/paragraphStyles&gt;&lt;paragraphStyles&gt;&lt;name&gt;THE END _____ NO space before&lt;/name&gt;&lt;nextStyle&gt;&lt;/nextStyle&gt;&lt;/paragraphStyles&gt;&lt;paragraphStyles&gt;&lt;name&gt;THE END _____ NO space before landscape&lt;/name&gt;&lt;nextStyle&gt;&lt;/nextStyle&gt;&lt;/paragraphStyles&gt;&lt;paragraphStyles&gt;&lt;name&gt;Box heading&lt;/name&gt;&lt;nextStyle&gt;&lt;/nextStyle&gt;&lt;/paragraphStyles&gt;&lt;paragraphStyles&gt;&lt;name&gt;Box text&lt;/name&gt;&lt;nextStyle&gt;&lt;/nextStyle&gt;&lt;/paragraphStyles&gt;&lt;paragraphStyles&gt;&lt;name&gt;Box text indent&lt;/name&gt;&lt;nextStyle&gt;&lt;/nextStyle&gt;&lt;/paragraphStyles&gt;&lt;paragraphStyles&gt;&lt;name&gt;Figure NOT tagged left&lt;/name&gt;&lt;nextStyle&gt;&lt;/nextStyle&gt;&lt;/paragraphStyles&gt;&lt;paragraphStyles&gt;&lt;name&gt;Figure NOT tagged centre&lt;/name&gt;&lt;nextStyle&gt;&lt;/nextStyle&gt;&lt;/paragraphStyles&gt;&lt;paragraphStyles&gt;&lt;name&gt;Figure NOT tagged right&lt;/name&gt;&lt;nextStyle&gt;&lt;/nextStyle&gt;&lt;/paragraphStyles&gt;&lt;paragraphStyles&gt;&lt;name&gt;Figure caption&lt;/name&gt;&lt;nextStyle&gt;&lt;/nextStyle&gt;&lt;/paragraphStyles&gt;&lt;paragraphStyles&gt;&lt;name&gt;Figure caption tracking minus 10&lt;/name&gt;&lt;nextStyle&gt;&lt;/nextStyle&gt;&lt;/paragraphStyles&gt;&lt;paragraphStyles&gt;&lt;name&gt;Figure caption space after&lt;/name&gt;&lt;nextStyle&gt;&lt;/nextStyle&gt;&lt;/paragraphStyles&gt;&lt;paragraphStyles&gt;&lt;name&gt;Source&lt;/name&gt;&lt;nextStyle&gt;&lt;/nextStyle&gt;&lt;/paragraphStyles&gt;&lt;paragraphStyles&gt;&lt;name&gt;Table caption&lt;/name&gt;&lt;nextStyle&gt;&lt;/nextStyle&gt;&lt;/paragraphStyles&gt;&lt;paragraphStyles&gt;&lt;name&gt;Table header&lt;/name&gt;&lt;nextStyle&gt;&lt;/nextStyle&gt;&lt;/paragraphStyles&gt;&lt;paragraphStyles&gt;&lt;name&gt;Table header tracking minus 10&lt;/name&gt;&lt;nextStyle&gt;&lt;/nextStyle&gt;&lt;/paragraphStyles&gt;&lt;paragraphStyles&gt;&lt;name&gt;Table body&lt;/name&gt;&lt;nextStyle&gt;&lt;/nextStyle&gt;&lt;/paragraphStyles&gt;&lt;paragraphStyles&gt;&lt;name&gt;Table body on grid&lt;/name&gt;&lt;nextStyle&gt;&lt;/nextStyle&gt;&lt;/paragraphStyles&gt;&lt;paragraphStyles&gt;&lt;name&gt;Table bracket&lt;/name&gt;&lt;nextStyle&gt;&lt;/nextStyle&gt;&lt;/paragraphStyles&gt;&lt;paragraphStyles&gt;&lt;name&gt;Table body shaded&lt;/name&gt;&lt;nextStyle&gt;&lt;/nextStyle&gt;&lt;/paragraphStyles&gt;&lt;paragraphStyles&gt;&lt;name&gt;Table shaded divider&lt;/name&gt;&lt;nextStyle&gt;&lt;/nextStyle&gt;&lt;/paragraphStyles&gt;&lt;paragraphStyles&gt;&lt;name&gt;Table body centered&lt;/name&gt;&lt;nextStyle&gt;&lt;/nextStyle&gt;&lt;/paragraphStyles&gt;&lt;paragraphStyles&gt;&lt;name&gt;Table body indent 1&lt;/name&gt;&lt;nextStyle&gt;&lt;/nextStyle&gt;&lt;/paragraphStyles&gt;&lt;paragraphStyles&gt;&lt;name&gt;Table body indent 2&lt;/name&gt;&lt;nextStyle&gt;&lt;/nextStyle&gt;&lt;/paragraphStyles&gt;&lt;paragraphStyles&gt;&lt;name&gt;Table note&lt;/name&gt;&lt;nextStyle&gt;&lt;/nextStyle&gt;&lt;/paragraphStyles&gt;&lt;paragraphStyles&gt;&lt;name&gt;Table notes&lt;/name&gt;&lt;nextStyle&gt;Table notes&lt;/nextStyle&gt;&lt;/paragraphStyles&gt;&lt;paragraphStyles&gt;&lt;name&gt;Table as text&lt;/name&gt;&lt;nextStyle&gt;&lt;/nextStyle&gt;&lt;/paragraphStyles&gt;&lt;paragraphStyles&gt;&lt;name&gt;Table as text NO space&lt;/name&gt;&lt;nextStyle&gt;&lt;/nextStyle&gt;&lt;/paragraphStyles&gt;&lt;paragraphStyles&gt;&lt;name&gt;Table source&lt;/name&gt;&lt;nextStyle&gt;&lt;/nextStyle&gt;&lt;/paragraphStyles&gt;&lt;charStyles&gt;Footnote Reference&lt;/charStyles&gt;&lt;charStyles&gt;Endnote Reference&lt;/charStyles&gt;&lt;charStyles&gt;Bold&lt;/charStyles&gt;&lt;charStyles&gt;Bold italic&lt;/charStyles&gt;&lt;charStyles&gt;Courier character&lt;/charStyles&gt;&lt;charStyles&gt;Cover_italic&lt;/charStyles&gt;&lt;charStyles&gt;Hairspace_no_break&lt;/charStyles&gt;&lt;charStyles&gt;Hairspace_break&lt;/charStyles&gt;&lt;charStyles&gt;Highlight yellow&lt;/charStyles&gt;&lt;charStyles&gt;Highlight violet&lt;/charStyles&gt;&lt;charStyles&gt;Hyperlink&lt;/charStyles&gt;&lt;charStyles&gt;Hyperlink Italic&lt;/charStyles&gt;&lt;charStyles&gt;Italic&lt;/charStyles&gt;&lt;charStyles&gt;Letter lower case&lt;/charStyles&gt;&lt;charStyles&gt;Medium&lt;/charStyles&gt;&lt;charStyles&gt;No Break&lt;/charStyles&gt;&lt;charStyles&gt;Semi bold&lt;/charStyles&gt;&lt;charStyles&gt;Semi bold italic&lt;/charStyles&gt;&lt;charStyles&gt;Space non-breaking&lt;/charStyles&gt;&lt;charStyles&gt;Space Thin (numbers)&lt;/charStyles&gt;&lt;charStyles&gt;Subscript&lt;/charStyles&gt;&lt;charStyles&gt;Subscript italic&lt;/charStyles&gt;&lt;charStyles&gt;Subscript semi bold&lt;/charStyles&gt;&lt;charStyles&gt;Superscript&lt;/charStyles&gt;&lt;charStyles&gt;Superscript italic&lt;/charStyles&gt;&lt;charStyles&gt;Superscript semi bold&lt;/charStyles&gt;&lt;charStyles&gt;Running_heads&lt;/charStyles&gt;&lt;charStyles&gt;Serif&lt;/charStyles&gt;&lt;charStyles&gt;Serif bold&lt;/charStyles&gt;&lt;charStyles&gt;Serif semi bold&lt;/charStyles&gt;&lt;charStyles&gt;Serif bold italic&lt;/charStyles&gt;&lt;charStyles&gt;Serif subscript&lt;/charStyles&gt;&lt;charStyles&gt;Serif superscript&lt;/charStyles&gt;&lt;charStyles&gt;Serif italic&lt;/charStyles&gt;&lt;charStyles&gt;Serif italic subscript&lt;/charStyles&gt;&lt;charStyles&gt;Serif italic superscript&lt;/charStyles&gt;&lt;charStyles&gt;Serif italic semi bold&lt;/charStyles&gt;&lt;charStyles&gt;Serif italic subscript semi bold&lt;/charStyles&gt;&lt;charStyles&gt;Serif italic superscript semi bold&lt;/charStyles&gt;&lt;charStyles&gt;Stix&lt;/charStyles&gt;&lt;charStyles&gt;Stix bold&lt;/charStyles&gt;&lt;charStyles&gt;Stix bold italic&lt;/charStyles&gt;&lt;charStyles&gt;Stix Math&lt;/charStyles&gt;&lt;charStyles&gt;Stix superscript&lt;/charStyles&gt;&lt;charStyles&gt;Stix subscript&lt;/charStyles&gt;&lt;charStyles&gt;Stix italic&lt;/charStyles&gt;&lt;charStyles&gt;Stix italic superscript&lt;/charStyles&gt;&lt;charStyles&gt;Stix italic subscript&lt;/charStyles&gt;&lt;charStyles&gt;table row no break&lt;/charStyles&gt;&lt;charStyles&gt;Tracking minus 10&lt;/charStyles&gt;&lt;charStyles&gt;Tiny&lt;/charStyles&gt;&lt;charStyles&gt;OSCAR Highlight green&lt;/charStyles&gt;&lt;charStyles&gt;OSCAR Highlight blue&lt;/charStyles&gt;&lt;charStyles&gt;OSCAR Highlight blue dark&lt;/charStyles&gt;&lt;charStyles&gt;OSCAR Highlight blue 255&lt;/charStyles&gt;&lt;charStyles&gt;OSCAR Highlight green dark&lt;/charStyles&gt;&lt;charStyles&gt;OSCAR Highlight orange&lt;/charStyles&gt;&lt;charStyles&gt;OSCAR Highlight bordeau&lt;/charStyles&gt;&lt;charStyles&gt;OSCAR Highlight red&lt;/charStyles&gt;&lt;charStyles&gt;OSCAR Highlight grey&lt;/charStyles&gt;&lt;charStyles&gt;Color Red&lt;/charStyles&gt;&lt;tables&gt;Revision table&lt;/tables&gt;&lt;tables&gt;Table with lines&lt;/tables&gt;&lt;tables&gt;Table no lines&lt;/tables&gt;&lt;tables&gt;Table horizontal lines&lt;/tables&gt;&lt;tables&gt;Table shaded header with lines&lt;/tables&gt;&lt;tables&gt;Table shaded header no lines&lt;/tables&gt;&lt;tables&gt;Table as text&lt;/tables&gt;&lt;tables&gt;Table as text NO space&lt;/tables&gt;&lt;tables&gt;Table Box&lt;/tables&gt;&lt;tables&gt;Table Box Grey&lt;/tables&gt;&lt;tables&gt;Table with lines header space&lt;/tables&gt;&lt;placedElements&gt;&lt;name&gt;Landscape title&lt;/name&gt;&lt;/placedElements&gt;&lt;inlineElements&gt;&lt;name&gt;Full_page&lt;/name&gt;&lt;frames&gt;&lt;type&gt;imageFrame&lt;/type&gt;&lt;/frames&gt;&lt;/inlineElements&gt;&lt;inlineElements&gt;&lt;name&gt;Picture inline&lt;/name&gt;&lt;frames&gt;&lt;type&gt;imageFrame&lt;/type&gt;&lt;/frames&gt;&lt;/inlineElements&gt;&lt;inlineElements&gt;&lt;name&gt;Picture inline 0.1 frame black&lt;/name&gt;&lt;frames&gt;&lt;type&gt;imageFrame&lt;/type&gt;&lt;/frames&gt;&lt;/inlineElements&gt;&lt;inlineElements&gt;&lt;name&gt;Picture inline 0.1 frame black NO space&lt;/name&gt;&lt;frames&gt;&lt;type&gt;imageFrame&lt;/type&gt;&lt;/frames&gt;&lt;/inlineElements&gt;&lt;inlineElements&gt;&lt;name&gt;Picture inline fix size&lt;/name&gt;&lt;frames&gt;&lt;type&gt;imageFrame&lt;/type&gt;&lt;/frames&gt;&lt;/inlineElements&gt;&lt;inlineElements&gt;&lt;name&gt;Picture inline fix size 0.1 frame black&lt;/name&gt;&lt;frames&gt;&lt;type&gt;imageFrame&lt;/type&gt;&lt;/frames&gt;&lt;/inlineElements&gt;&lt;inlineElements&gt;&lt;name&gt;Picture inline fix size 0.1 frame black NO space&lt;/name&gt;&lt;frames&gt;&lt;type&gt;imageFrame&lt;/type&gt;&lt;/frames&gt;&lt;/inlineElements&gt;&lt;inlineElements&gt;&lt;name&gt;Picture inline fixed size NO space&lt;/name&gt;&lt;frames&gt;&lt;type&gt;imageFrame&lt;/type&gt;&lt;/frames&gt;&lt;/inlineElements&gt;&lt;inlineElements&gt;&lt;name&gt;Picture inline landscape (4 lines caption)&lt;/name&gt;&lt;frames&gt;&lt;type&gt;imageFrame&lt;/type&gt;&lt;/frames&gt;&lt;/inlineElements&gt;&lt;inlineElements&gt;&lt;name&gt;Picture inline NO space&lt;/name&gt;&lt;frames&gt;&lt;type&gt;imageFrame&lt;/type&gt;&lt;/frames&gt;&lt;/inlineElements&gt;&lt;inlineElements&gt;&lt;name&gt;Picture inline SG signature&lt;/name&gt;&lt;frames&gt;&lt;type&gt;imageFrame&lt;/type&gt;&lt;/frames&gt;&lt;/inlineElements&gt;&lt;inlineElements&gt;&lt;name&gt;Picture inline SG signature NO space before&lt;/name&gt;&lt;frames&gt;&lt;type&gt;imageFrame&lt;/type&gt;&lt;/frames&gt;&lt;/inlineElements&gt;&lt;floatingElements&gt;&lt;name&gt;Floating object&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Floating object landscape&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Full page floating&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Place_pdf&lt;/name&gt;&lt;frames&gt;&lt;type&gt;imageFrame&lt;/type&gt;&lt;/frames&gt;&lt;variants&gt;&lt;keyword&gt;bottom&lt;/keyword&gt;&lt;frames&gt;&lt;type&gt;imageFrame&lt;/type&gt;&lt;/frames&gt;&lt;/variants&gt;&lt;/floatingElements&gt;&lt;crossReferenceFormatDefinitions&gt;Full Paragraph &amp;amp; Page Number&lt;/crossReferenceFormatDefinitions&gt;&lt;crossReferenceFormatDefinitions&gt;Full Paragraph&lt;/crossReferenceFormatDefinitions&gt;&lt;crossReferenceFormatDefinitions&gt;Paragraph Text &amp;amp; Page Number&lt;/crossReferenceFormatDefinitions&gt;&lt;crossReferenceFormatDefinitions&gt;Paragraph Text&lt;/crossReferenceFormatDefinitions&gt;&lt;crossReferenceFormatDefinitions&gt;Paragraph Number &amp;amp; Page Number&lt;/crossReferenceFormatDefinitions&gt;&lt;crossReferenceFormatDefinitions&gt;Paragraph Number&lt;/crossReferenceFormatDefinitions&gt;&lt;crossReferenceFormatDefinitions&gt;Text Anchor Name &amp;amp; Page Number&lt;/crossReferenceFormatDefinitions&gt;&lt;crossReferenceFormatDefinitions&gt;Text Anchor Name&lt;/crossReferenceFormatDefinitions&gt;&lt;crossReferenceFormatDefinitions&gt;TOC Page Number&lt;/crossReferenceFormatDefinitions&gt;&lt;crossReferenceFormatDefinitions&gt;Tps.Toc.Entry&lt;/crossReferenceFormatDefinitions&gt;&lt;tocStyles&gt;[Default]&lt;/tocStyles&gt;&lt;tocStyles&gt;MAIN_TOC&lt;/tocStyles&gt;&lt;tocStyles&gt;CODES_ToC&lt;/tocStyles&gt;&lt;tocStyles&gt;BOOK_TOC&lt;/tocStyles&gt;&lt;tocStyles&gt;PART_TOC&lt;/tocStyles&gt;&lt;tocStyles&gt;TOC_Bookmarks&lt;/tocStyles&gt;&lt;tocStyles&gt;GUIDELINES_TOC&lt;/tocStyles&gt;&lt;tocStyles&gt;GUIDELINES_TOC_NO_INDENT&lt;/tocStyles&gt;&lt;tocStyles&gt;PROCEDURES_TOC&lt;/tocStyles&gt;&lt;spreads&gt;&lt;name&gt;Co-Cover red&lt;/name&gt;&lt;pages&gt;&lt;frames&gt;&lt;type&gt;mainStoryFrame&lt;/type&gt;&lt;/frames&gt;&lt;/pages&gt;&lt;/spreads&gt;&lt;spreads&gt;&lt;name&gt;Co-Cover green&lt;/name&gt;&lt;pages&gt;&lt;frames&gt;&lt;type&gt;mainStoryFrame&lt;/type&gt;&lt;/frames&gt;&lt;/pages&gt;&lt;/spreads&gt;&lt;spreads&gt;&lt;name&gt;Co-Cover guidelines&lt;/name&gt;&lt;pages&gt;&lt;frames&gt;&lt;type&gt;mainStoryFrame&lt;/type&gt;&lt;/frames&gt;&lt;/pages&gt;&lt;/spreads&gt;&lt;spreads&gt;&lt;name&gt;TP-Title page&lt;/name&gt;&lt;pages&gt;&lt;frames&gt;&lt;type&gt;mainStoryFrame&lt;/type&gt;&lt;/frames&gt;&lt;/pages&gt;&lt;/spreads&gt;&lt;spreads&gt;&lt;name&gt;ISBN-no_editorial_note&lt;/name&gt;&lt;pages /&gt;&lt;/spreads&gt;&lt;spreads&gt;&lt;name&gt;ISBN-short&lt;/name&gt;&lt;pages /&gt;&lt;/spreads&gt;&lt;spreads&gt;&lt;name&gt;ISBN-long&lt;/name&gt;&lt;pages /&gt;&lt;/spreads&gt;&lt;spreads&gt;&lt;name&gt;ISBN-Long_with_URLs&lt;/name&gt;&lt;pages /&gt;&lt;/spreads&gt;&lt;spreads&gt;&lt;name&gt;ISBN-Guides&lt;/name&gt;&lt;pages /&gt;&lt;/spreads&gt;&lt;spreads&gt;&lt;name&gt;ISBN-URLs&lt;/name&gt;&lt;pages /&gt;&lt;/spreads&gt;&lt;spreads&gt;&lt;name&gt;ISBN-1061&lt;/name&gt;&lt;pages /&gt;&lt;/spreads&gt;&lt;spreads&gt;&lt;name&gt;ISBN-1182&lt;/name&gt;&lt;pages /&gt;&lt;/spreads&gt;&lt;spreads&gt;&lt;name&gt;TOC-Table of contents First page&lt;/name&gt;&lt;pages /&gt;&lt;pages&gt;&lt;frames&gt;&lt;type&gt;tocFrame&lt;/type&gt;&lt;/frames&gt;&lt;/pages&gt;&lt;/spreads&gt;&lt;spreads&gt;&lt;name&gt;TOC-Table of contents&lt;/name&gt;&lt;pages&gt;&lt;frames&gt;&lt;type&gt;tocFrame&lt;/type&gt;&lt;/frames&gt;&lt;/pages&gt;&lt;pages&gt;&lt;frames&gt;&lt;type&gt;tocFrame&lt;/type&gt;&lt;/frames&gt;&lt;/pages&gt;&lt;/spreads&gt;&lt;spreads&gt;&lt;name&gt;TOC-Table of contents Procedures First page&lt;/name&gt;&lt;pages /&gt;&lt;pages&gt;&lt;frames&gt;&lt;type&gt;tocFrame&lt;/type&gt;&lt;/frames&gt;&lt;/pages&gt;&lt;/spreads&gt;&lt;spreads&gt;&lt;name&gt;TOC-Table of contents Procedures&lt;/name&gt;&lt;pages&gt;&lt;frames&gt;&lt;type&gt;tocFrame&lt;/type&gt;&lt;/frames&gt;&lt;/pages&gt;&lt;pages&gt;&lt;frames&gt;&lt;type&gt;tocFrame&lt;/type&gt;&lt;/frames&gt;&lt;/pages&gt;&lt;/spreads&gt;&lt;spreads&gt;&lt;name&gt;TOCB-Contents Book&lt;/name&gt;&lt;pages /&gt;&lt;pages&gt;&lt;frames&gt;&lt;type&gt;mainStoryFrame&lt;/type&gt;&lt;/frames&gt;&lt;frames&gt;&lt;type&gt;tocFrame&lt;/type&gt;&lt;/frames&gt;&lt;/pages&gt;&lt;/spreads&gt;&lt;spreads&gt;&lt;name&gt;ToCB-Inside pages Book&lt;/name&gt;&lt;pages&gt;&lt;frames&gt;&lt;type&gt;mainStoryFrame&lt;/type&gt;&lt;/frames&gt;&lt;/pages&gt;&lt;pages&gt;&lt;frames&gt;&lt;type&gt;mainStoryFrame&lt;/type&gt;&lt;/frames&gt;&lt;/pages&gt;&lt;/spreads&gt;&lt;spreads&gt;&lt;name&gt;TOCP-Contents Part&lt;/name&gt;&lt;pages&gt;&lt;frames&gt;&lt;type&gt;mainStoryFrame&lt;/type&gt;&lt;/frames&gt;&lt;/pages&gt;&lt;pages&gt;&lt;frames&gt;&lt;type&gt;mainStoryFrame&lt;/type&gt;&lt;/frames&gt;&lt;/pages&gt;&lt;/spreads&gt;&lt;spreads&gt;&lt;name&gt;ToCP-Inside pages Part&lt;/name&gt;&lt;pages&gt;&lt;frames&gt;&lt;type&gt;mainStoryFrame&lt;/type&gt;&lt;/frames&gt;&lt;/pages&gt;&lt;pages&gt;&lt;frames&gt;&lt;type&gt;mainStoryFrame&lt;/type&gt;&lt;/frames&gt;&lt;/pages&gt;&lt;/spreads&gt;&lt;spreads&gt;&lt;name&gt;TOCC-Table of Contents first page Chapter&lt;/name&gt;&lt;pages&gt;&lt;frames&gt;&lt;type&gt;mainStoryFrame&lt;/type&gt;&lt;/frames&gt;&lt;/pages&gt;&lt;pages&gt;&lt;frames&gt;&lt;type&gt;mainStoryFrame&lt;/type&gt;&lt;/frames&gt;&lt;/pages&gt;&lt;/spreads&gt;&lt;spreads&gt;&lt;name&gt;ToCC-Table of Contents inside pages Chapter&lt;/name&gt;&lt;pages&gt;&lt;frames&gt;&lt;type&gt;mainStoryFrame&lt;/type&gt;&lt;/frames&gt;&lt;/pages&gt;&lt;pages&gt;&lt;frames&gt;&lt;type&gt;mainStoryFrame&lt;/type&gt;&lt;/frames&gt;&lt;/pages&gt;&lt;/spreads&gt;&lt;spreads&gt;&lt;name&gt;ToCG-Contents GUIDELINES first page&lt;/name&gt;&lt;pages /&gt;&lt;pages&gt;&lt;frames&gt;&lt;type&gt;tocFrame&lt;/type&gt;&lt;/frames&gt;&lt;/pages&gt;&lt;/spreads&gt;&lt;spreads&gt;&lt;name&gt;ToCG-Contents GUIDELINES&lt;/name&gt;&lt;pages&gt;&lt;frames&gt;&lt;type&gt;tocFrame&lt;/type&gt;&lt;/frames&gt;&lt;/pages&gt;&lt;pages&gt;&lt;frames&gt;&lt;type&gt;tocFrame&lt;/type&gt;&lt;/frames&gt;&lt;/pages&gt;&lt;/spreads&gt;&lt;spreads&gt;&lt;name&gt;TOC-Contents GUIDELINES No indent first page&lt;/name&gt;&lt;pages /&gt;&lt;pages&gt;&lt;frames&gt;&lt;type&gt;tocFrame&lt;/type&gt;&lt;/frames&gt;&lt;/pages&gt;&lt;/spreads&gt;&lt;spreads&gt;&lt;name&gt;TOC-Contents GUIDELINES No indent&lt;/name&gt;&lt;pages&gt;&lt;frames&gt;&lt;type&gt;tocFrame&lt;/type&gt;&lt;/frames&gt;&lt;/pages&gt;&lt;pages&gt;&lt;frames&gt;&lt;type&gt;tocFrame&lt;/type&gt;&lt;/frames&gt;&lt;/pages&gt;&lt;/spreads&gt;&lt;spreads&gt;&lt;name&gt;ToC-Contents CODES first page&lt;/name&gt;&lt;pages /&gt;&lt;pages&gt;&lt;frames&gt;&lt;type&gt;tocFrame&lt;/type&gt;&lt;/frames&gt;&lt;/pages&gt;&lt;/spreads&gt;&lt;spreads&gt;&lt;name&gt;ToC-Contents CODES&lt;/name&gt;&lt;pages&gt;&lt;frames&gt;&lt;type&gt;tocFrame&lt;/type&gt;&lt;/frames&gt;&lt;/pages&gt;&lt;pages&gt;&lt;frames&gt;&lt;type&gt;tocFrame&lt;/type&gt;&lt;/frames&gt;&lt;/pages&gt;&lt;/spreads&gt;&lt;spreads&gt;&lt;name&gt;Pr-Preliminary pages&lt;/name&gt;&lt;pages&gt;&lt;frames&gt;&lt;type&gt;mainStoryFrame&lt;/type&gt;&lt;/frames&gt;&lt;/pages&gt;&lt;pages&gt;&lt;frames&gt;&lt;type&gt;mainStoryFrame&lt;/type&gt;&lt;/frames&gt;&lt;/pages&gt;&lt;/spreads&gt;&lt;spreads&gt;&lt;name&gt;Pr-Preliminary&lt;/name&gt;&lt;pages&gt;&lt;frames&gt;&lt;type&gt;mainStoryFrame&lt;/type&gt;&lt;/frames&gt;&lt;/pages&gt;&lt;pages&gt;&lt;frames&gt;&lt;type&gt;mainStoryFrame&lt;/type&gt;&lt;/frames&gt;&lt;/pages&gt;&lt;/spreads&gt;&lt;spreads&gt;&lt;name&gt;Cfp-Chapter first page&lt;/name&gt;&lt;pages&gt;&lt;frames&gt;&lt;type&gt;mainStoryFrame&lt;/type&gt;&lt;/frames&gt;&lt;/pages&gt;&lt;pages&gt;&lt;frames&gt;&lt;type&gt;mainStoryFrame&lt;/type&gt;&lt;/frames&gt;&lt;/pages&gt;&lt;/spreads&gt;&lt;spreads&gt;&lt;name&gt;IP-Inside pages&lt;/name&gt;&lt;pages&gt;&lt;frames&gt;&lt;type&gt;mainStoryFrame&lt;/type&gt;&lt;/frames&gt;&lt;/pages&gt;&lt;pages&gt;&lt;frames&gt;&lt;type&gt;mainStoryFrame&lt;/type&gt;&lt;/frames&gt;&lt;/pages&gt;&lt;/spreads&gt;&lt;spreads&gt;&lt;name&gt;C-Chapter&lt;/name&gt;&lt;pages&gt;&lt;frames&gt;&lt;type&gt;mainStoryFrame&lt;/type&gt;&lt;/frames&gt;&lt;/pages&gt;&lt;pages&gt;&lt;frames&gt;&lt;type&gt;mainStoryFrame&lt;/type&gt;&lt;/frames&gt;&lt;/pages&gt;&lt;/spreads&gt;&lt;spreads&gt;&lt;name&gt;Ch-Chapter test&lt;/name&gt;&lt;pages&gt;&lt;frames&gt;&lt;type&gt;mainStoryFrame&lt;/type&gt;&lt;/frames&gt;&lt;/pages&gt;&lt;pages&gt;&lt;frames&gt;&lt;type&gt;mainStoryFrame&lt;/type&gt;&lt;/frames&gt;&lt;/pages&gt;&lt;/spreads&gt;&lt;spreads&gt;&lt;name&gt;Cfpl-Chapter first page landscape with title&lt;/name&gt;&lt;pages&gt;&lt;frames&gt;&lt;type&gt;mainStoryFrame&lt;/type&gt;&lt;/frames&gt;&lt;frames&gt;&lt;type&gt;element&lt;/type&gt;&lt;/frames&gt;&lt;/pages&gt;&lt;pages&gt;&lt;frames&gt;&lt;type&gt;mainStoryFrame&lt;/type&gt;&lt;/frames&gt;&lt;frames&gt;&lt;type&gt;element&lt;/type&gt;&lt;/frames&gt;&lt;/pages&gt;&lt;/spreads&gt;&lt;spreads&gt;&lt;name&gt;CfpL-Chapter first page landscape&lt;/name&gt;&lt;pages&gt;&lt;frames&gt;&lt;type&gt;mainStoryFrame&lt;/type&gt;&lt;/frames&gt;&lt;/pages&gt;&lt;pages&gt;&lt;frames&gt;&lt;type&gt;mainStoryFrame&lt;/type&gt;&lt;/frames&gt;&lt;/pages&gt;&lt;/spreads&gt;&lt;spreads&gt;&lt;name&gt;EN-Endnotes&lt;/name&gt;&lt;pages&gt;&lt;frames&gt;&lt;type&gt;endnoteFrame&lt;/type&gt;&lt;/frames&gt;&lt;/pages&gt;&lt;pages&gt;&lt;frames&gt;&lt;type&gt;endnoteFrame&lt;/type&gt;&lt;/frames&gt;&lt;/pages&gt;&lt;/spreads&gt;&lt;spreads&gt;&lt;name&gt;LS-Landscape&lt;/name&gt;&lt;pages&gt;&lt;frames&gt;&lt;type&gt;mainStoryFrame&lt;/type&gt;&lt;/frames&gt;&lt;/pages&gt;&lt;pages&gt;&lt;frames&gt;&lt;type&gt;mainStoryFrame&lt;/type&gt;&lt;/frames&gt;&lt;/pages&gt;&lt;/spreads&gt;&lt;spreads&gt;&lt;name&gt;BC-Back cover&lt;/name&gt;&lt;pages /&gt;&lt;pages /&gt;&lt;/spreads&gt;&lt;spreads&gt;&lt;name&gt;BC-Back cover CSG&lt;/name&gt;&lt;pages /&gt;&lt;pages /&gt;&lt;/spreads&gt;&lt;spreads&gt;&lt;name&gt;T-Tables&lt;/name&gt;&lt;pages /&gt;&lt;pages /&gt;&lt;/spreads&gt;&lt;spreads&gt;&lt;name&gt;T-Tables 2&lt;/name&gt;&lt;pages /&gt;&lt;pages /&gt;&lt;/spreads&gt;&lt;spreads&gt;&lt;name&gt;IM-Image&lt;/name&gt;&lt;pages /&gt;&lt;pages /&gt;&lt;/spreads&gt;&lt;spreads&gt;&lt;name&gt;IM2-Master&lt;/name&gt;&lt;pages /&gt;&lt;pages /&gt;&lt;/spreads&gt;&lt;spreads&gt;&lt;name&gt;IM3-image2&lt;/name&gt;&lt;pages /&gt;&lt;pages /&gt;&lt;/spreads&gt;&lt;spreads&gt;&lt;name&gt;IM4-Image3&lt;/name&gt;&lt;pages /&gt;&lt;pages /&gt;&lt;/spreads&gt;&lt;spreads&gt;&lt;name&gt;IM4-Image4&lt;/name&gt;&lt;pages /&gt;&lt;pages /&gt;&lt;/spreads&gt;&lt;spreads&gt;&lt;name&gt;El-Elements 1&lt;/name&gt;&lt;pages /&gt;&lt;pages /&gt;&lt;/spreads&gt;&lt;spreads&gt;&lt;name&gt;FLH-Figure Landscape header&lt;/name&gt;&lt;pages /&gt;&lt;pages /&gt;&lt;/spreads&gt;&lt;spreads&gt;&lt;name&gt;D-Divider page&lt;/name&gt;&lt;pages&gt;&lt;frames&gt;&lt;type&gt;mainStoryFrame&lt;/type&gt;&lt;/frames&gt;&lt;/pages&gt;&lt;pages&gt;&lt;frames&gt;&lt;type&gt;mainStoryFrame&lt;/type&gt;&lt;/frames&gt;&lt;/pages&gt;&lt;/spreads&gt;&lt;spreads&gt;&lt;name&gt;Z-Conditional spacing&lt;/name&gt;&lt;pages /&gt;&lt;pages /&gt;&lt;/spreads&gt;&lt;spreads&gt;&lt;name&gt;XC-Conditional keeps&lt;/name&gt;&lt;pages /&gt;&lt;pages /&gt;&lt;pages /&gt;&lt;pages /&gt;&lt;pages /&gt;&lt;pages /&gt;&lt;pages /&gt;&lt;pages /&gt;&lt;/spreads&gt;&lt;spreads&gt;&lt;name&gt;ePub-Back_cover&lt;/name&gt;&lt;pages /&gt;&lt;pages /&gt;&lt;/spreads&gt;&lt;spreads&gt;&lt;name&gt;XX-Avoid Short End Lines&lt;/name&gt;&lt;pages /&gt;&lt;pages /&gt;&lt;/spreads&gt;&lt;spreads&gt;&lt;name&gt;Mo-Modifications&lt;/name&gt;&lt;pages /&gt;&lt;pages /&gt;&lt;pages /&gt;&lt;pages /&gt;&lt;pages /&gt;&lt;pages /&gt;&lt;pages /&gt;&lt;pages /&gt;&lt;pages /&gt;&lt;pages /&gt;&lt;/spreads&gt;&lt;/tss&gt;"/>
  </w:docVars>
  <w:rsids>
    <w:rsidRoot w:val="00BD6BAA"/>
    <w:rsid w:val="00000DBF"/>
    <w:rsid w:val="0000150D"/>
    <w:rsid w:val="000018C9"/>
    <w:rsid w:val="00001CC3"/>
    <w:rsid w:val="00001E84"/>
    <w:rsid w:val="000021B6"/>
    <w:rsid w:val="000029D9"/>
    <w:rsid w:val="00004644"/>
    <w:rsid w:val="0000513B"/>
    <w:rsid w:val="00005608"/>
    <w:rsid w:val="00005AA3"/>
    <w:rsid w:val="00005B2D"/>
    <w:rsid w:val="00005DF7"/>
    <w:rsid w:val="00005F5A"/>
    <w:rsid w:val="00007039"/>
    <w:rsid w:val="000079D8"/>
    <w:rsid w:val="000103AA"/>
    <w:rsid w:val="0001091E"/>
    <w:rsid w:val="00010954"/>
    <w:rsid w:val="0001204B"/>
    <w:rsid w:val="00013058"/>
    <w:rsid w:val="00013B00"/>
    <w:rsid w:val="00013B62"/>
    <w:rsid w:val="000144D9"/>
    <w:rsid w:val="000156C2"/>
    <w:rsid w:val="000156FE"/>
    <w:rsid w:val="00015F3E"/>
    <w:rsid w:val="0001605F"/>
    <w:rsid w:val="000169BE"/>
    <w:rsid w:val="00016A46"/>
    <w:rsid w:val="00016DEC"/>
    <w:rsid w:val="000177E4"/>
    <w:rsid w:val="00020399"/>
    <w:rsid w:val="000206A8"/>
    <w:rsid w:val="000206B2"/>
    <w:rsid w:val="00020A86"/>
    <w:rsid w:val="00022452"/>
    <w:rsid w:val="00022704"/>
    <w:rsid w:val="00022CB6"/>
    <w:rsid w:val="00023303"/>
    <w:rsid w:val="00024A79"/>
    <w:rsid w:val="00024AAC"/>
    <w:rsid w:val="00024D45"/>
    <w:rsid w:val="00024DCB"/>
    <w:rsid w:val="00024F30"/>
    <w:rsid w:val="000250A2"/>
    <w:rsid w:val="000250B1"/>
    <w:rsid w:val="000253B8"/>
    <w:rsid w:val="00025DEC"/>
    <w:rsid w:val="00025EFC"/>
    <w:rsid w:val="00027291"/>
    <w:rsid w:val="0003137A"/>
    <w:rsid w:val="000314AF"/>
    <w:rsid w:val="00031569"/>
    <w:rsid w:val="00032733"/>
    <w:rsid w:val="00033A86"/>
    <w:rsid w:val="00033AD2"/>
    <w:rsid w:val="00033DDD"/>
    <w:rsid w:val="00034CC6"/>
    <w:rsid w:val="00035717"/>
    <w:rsid w:val="000379DC"/>
    <w:rsid w:val="00037A24"/>
    <w:rsid w:val="00037B66"/>
    <w:rsid w:val="0004077B"/>
    <w:rsid w:val="00040AF8"/>
    <w:rsid w:val="00040F46"/>
    <w:rsid w:val="00040FED"/>
    <w:rsid w:val="0004105E"/>
    <w:rsid w:val="00041168"/>
    <w:rsid w:val="00041171"/>
    <w:rsid w:val="00041501"/>
    <w:rsid w:val="00041696"/>
    <w:rsid w:val="00041727"/>
    <w:rsid w:val="00041758"/>
    <w:rsid w:val="00041E61"/>
    <w:rsid w:val="0004226F"/>
    <w:rsid w:val="00042751"/>
    <w:rsid w:val="00042CB6"/>
    <w:rsid w:val="000433F0"/>
    <w:rsid w:val="00043DFC"/>
    <w:rsid w:val="000442C4"/>
    <w:rsid w:val="00050F8E"/>
    <w:rsid w:val="000518BB"/>
    <w:rsid w:val="00051C60"/>
    <w:rsid w:val="000524FD"/>
    <w:rsid w:val="00052CCE"/>
    <w:rsid w:val="000530D2"/>
    <w:rsid w:val="00053E6D"/>
    <w:rsid w:val="00054251"/>
    <w:rsid w:val="000542D3"/>
    <w:rsid w:val="000543E4"/>
    <w:rsid w:val="000545EE"/>
    <w:rsid w:val="0005476C"/>
    <w:rsid w:val="00054CB2"/>
    <w:rsid w:val="00054E1C"/>
    <w:rsid w:val="0005570C"/>
    <w:rsid w:val="00056151"/>
    <w:rsid w:val="00056BF3"/>
    <w:rsid w:val="00057274"/>
    <w:rsid w:val="000573AD"/>
    <w:rsid w:val="00057590"/>
    <w:rsid w:val="00057660"/>
    <w:rsid w:val="0005796F"/>
    <w:rsid w:val="00057DDD"/>
    <w:rsid w:val="000605D3"/>
    <w:rsid w:val="00062A95"/>
    <w:rsid w:val="000633D8"/>
    <w:rsid w:val="000641C2"/>
    <w:rsid w:val="000641E1"/>
    <w:rsid w:val="00064F6B"/>
    <w:rsid w:val="00065781"/>
    <w:rsid w:val="00065BDC"/>
    <w:rsid w:val="00066EC7"/>
    <w:rsid w:val="00067457"/>
    <w:rsid w:val="00067A66"/>
    <w:rsid w:val="00067DD3"/>
    <w:rsid w:val="00067FB3"/>
    <w:rsid w:val="00070B66"/>
    <w:rsid w:val="00070DEE"/>
    <w:rsid w:val="00071AB5"/>
    <w:rsid w:val="00071AB9"/>
    <w:rsid w:val="0007211C"/>
    <w:rsid w:val="0007238D"/>
    <w:rsid w:val="00072F17"/>
    <w:rsid w:val="00074576"/>
    <w:rsid w:val="000746A8"/>
    <w:rsid w:val="00074D0A"/>
    <w:rsid w:val="00075275"/>
    <w:rsid w:val="0007537A"/>
    <w:rsid w:val="00075C67"/>
    <w:rsid w:val="00075F44"/>
    <w:rsid w:val="00076B44"/>
    <w:rsid w:val="000806D8"/>
    <w:rsid w:val="000807DD"/>
    <w:rsid w:val="00080F4F"/>
    <w:rsid w:val="00082641"/>
    <w:rsid w:val="00082667"/>
    <w:rsid w:val="00082C80"/>
    <w:rsid w:val="00082F91"/>
    <w:rsid w:val="00083847"/>
    <w:rsid w:val="00083C36"/>
    <w:rsid w:val="00084504"/>
    <w:rsid w:val="00084751"/>
    <w:rsid w:val="0008568D"/>
    <w:rsid w:val="00085791"/>
    <w:rsid w:val="000860BC"/>
    <w:rsid w:val="0008612B"/>
    <w:rsid w:val="00086347"/>
    <w:rsid w:val="00086494"/>
    <w:rsid w:val="00087F5D"/>
    <w:rsid w:val="00090111"/>
    <w:rsid w:val="000903E7"/>
    <w:rsid w:val="0009046A"/>
    <w:rsid w:val="00090ADB"/>
    <w:rsid w:val="00090D86"/>
    <w:rsid w:val="0009170F"/>
    <w:rsid w:val="00091BEE"/>
    <w:rsid w:val="00091EA9"/>
    <w:rsid w:val="00092C6D"/>
    <w:rsid w:val="00092DDF"/>
    <w:rsid w:val="000931ED"/>
    <w:rsid w:val="00093720"/>
    <w:rsid w:val="0009375E"/>
    <w:rsid w:val="00094CFC"/>
    <w:rsid w:val="00095C63"/>
    <w:rsid w:val="00095E48"/>
    <w:rsid w:val="00096635"/>
    <w:rsid w:val="000967ED"/>
    <w:rsid w:val="00096B42"/>
    <w:rsid w:val="00096E7F"/>
    <w:rsid w:val="00097230"/>
    <w:rsid w:val="000A0043"/>
    <w:rsid w:val="000A004C"/>
    <w:rsid w:val="000A074E"/>
    <w:rsid w:val="000A08F4"/>
    <w:rsid w:val="000A1BAB"/>
    <w:rsid w:val="000A1EE9"/>
    <w:rsid w:val="000A2245"/>
    <w:rsid w:val="000A2AFE"/>
    <w:rsid w:val="000A2B94"/>
    <w:rsid w:val="000A491E"/>
    <w:rsid w:val="000A5A05"/>
    <w:rsid w:val="000A627B"/>
    <w:rsid w:val="000A6707"/>
    <w:rsid w:val="000A699A"/>
    <w:rsid w:val="000A69B2"/>
    <w:rsid w:val="000A69BF"/>
    <w:rsid w:val="000A6A18"/>
    <w:rsid w:val="000A6AB3"/>
    <w:rsid w:val="000A7CF1"/>
    <w:rsid w:val="000B0118"/>
    <w:rsid w:val="000B0151"/>
    <w:rsid w:val="000B0551"/>
    <w:rsid w:val="000B15F4"/>
    <w:rsid w:val="000B18F7"/>
    <w:rsid w:val="000B2ABC"/>
    <w:rsid w:val="000B2D7D"/>
    <w:rsid w:val="000B33CA"/>
    <w:rsid w:val="000B3742"/>
    <w:rsid w:val="000B4E3B"/>
    <w:rsid w:val="000B593A"/>
    <w:rsid w:val="000B5E13"/>
    <w:rsid w:val="000B619F"/>
    <w:rsid w:val="000B67AB"/>
    <w:rsid w:val="000B70DC"/>
    <w:rsid w:val="000B78C8"/>
    <w:rsid w:val="000B7B3E"/>
    <w:rsid w:val="000B7F2C"/>
    <w:rsid w:val="000C03CC"/>
    <w:rsid w:val="000C11EA"/>
    <w:rsid w:val="000C1460"/>
    <w:rsid w:val="000C1467"/>
    <w:rsid w:val="000C1722"/>
    <w:rsid w:val="000C225A"/>
    <w:rsid w:val="000C2BDC"/>
    <w:rsid w:val="000C328C"/>
    <w:rsid w:val="000C37B1"/>
    <w:rsid w:val="000C4497"/>
    <w:rsid w:val="000C471C"/>
    <w:rsid w:val="000C5156"/>
    <w:rsid w:val="000C665B"/>
    <w:rsid w:val="000C6781"/>
    <w:rsid w:val="000C791F"/>
    <w:rsid w:val="000D0ECC"/>
    <w:rsid w:val="000D1027"/>
    <w:rsid w:val="000D1142"/>
    <w:rsid w:val="000D2418"/>
    <w:rsid w:val="000D245E"/>
    <w:rsid w:val="000D28B9"/>
    <w:rsid w:val="000D28E1"/>
    <w:rsid w:val="000D32F7"/>
    <w:rsid w:val="000D5C93"/>
    <w:rsid w:val="000D625C"/>
    <w:rsid w:val="000D701F"/>
    <w:rsid w:val="000D746B"/>
    <w:rsid w:val="000D78BA"/>
    <w:rsid w:val="000E129B"/>
    <w:rsid w:val="000E1765"/>
    <w:rsid w:val="000E21AC"/>
    <w:rsid w:val="000E2393"/>
    <w:rsid w:val="000E2B90"/>
    <w:rsid w:val="000E3244"/>
    <w:rsid w:val="000E347D"/>
    <w:rsid w:val="000E4473"/>
    <w:rsid w:val="000E4AFE"/>
    <w:rsid w:val="000E740E"/>
    <w:rsid w:val="000E7D59"/>
    <w:rsid w:val="000F0C2B"/>
    <w:rsid w:val="000F1258"/>
    <w:rsid w:val="000F231E"/>
    <w:rsid w:val="000F2E11"/>
    <w:rsid w:val="000F31A3"/>
    <w:rsid w:val="000F3261"/>
    <w:rsid w:val="000F35ED"/>
    <w:rsid w:val="000F4139"/>
    <w:rsid w:val="000F4359"/>
    <w:rsid w:val="000F4C17"/>
    <w:rsid w:val="000F4FF5"/>
    <w:rsid w:val="000F5169"/>
    <w:rsid w:val="000F5813"/>
    <w:rsid w:val="000F5E49"/>
    <w:rsid w:val="000F649A"/>
    <w:rsid w:val="000F711F"/>
    <w:rsid w:val="000F7653"/>
    <w:rsid w:val="000F781C"/>
    <w:rsid w:val="000F7A87"/>
    <w:rsid w:val="000F7EC1"/>
    <w:rsid w:val="00100105"/>
    <w:rsid w:val="00100344"/>
    <w:rsid w:val="00100ED2"/>
    <w:rsid w:val="001014C6"/>
    <w:rsid w:val="001014D4"/>
    <w:rsid w:val="001015AB"/>
    <w:rsid w:val="001015FD"/>
    <w:rsid w:val="00101FD6"/>
    <w:rsid w:val="001029E8"/>
    <w:rsid w:val="00102EAE"/>
    <w:rsid w:val="001030C2"/>
    <w:rsid w:val="00103195"/>
    <w:rsid w:val="001032F7"/>
    <w:rsid w:val="00104413"/>
    <w:rsid w:val="0010480F"/>
    <w:rsid w:val="001048C2"/>
    <w:rsid w:val="00104DD9"/>
    <w:rsid w:val="0010513C"/>
    <w:rsid w:val="00105D2E"/>
    <w:rsid w:val="00106015"/>
    <w:rsid w:val="001067E0"/>
    <w:rsid w:val="00106A35"/>
    <w:rsid w:val="00107459"/>
    <w:rsid w:val="00107693"/>
    <w:rsid w:val="00107D2C"/>
    <w:rsid w:val="00107F18"/>
    <w:rsid w:val="00107FBD"/>
    <w:rsid w:val="0011072B"/>
    <w:rsid w:val="001113D1"/>
    <w:rsid w:val="00111BFD"/>
    <w:rsid w:val="00111D70"/>
    <w:rsid w:val="00112429"/>
    <w:rsid w:val="0011331E"/>
    <w:rsid w:val="001140EF"/>
    <w:rsid w:val="00114523"/>
    <w:rsid w:val="0011498B"/>
    <w:rsid w:val="00115B4E"/>
    <w:rsid w:val="00115C86"/>
    <w:rsid w:val="001167B8"/>
    <w:rsid w:val="00120147"/>
    <w:rsid w:val="001204F6"/>
    <w:rsid w:val="00120F6F"/>
    <w:rsid w:val="00122190"/>
    <w:rsid w:val="00123140"/>
    <w:rsid w:val="001233B7"/>
    <w:rsid w:val="00123A95"/>
    <w:rsid w:val="00123D94"/>
    <w:rsid w:val="0012400D"/>
    <w:rsid w:val="00124081"/>
    <w:rsid w:val="0012474D"/>
    <w:rsid w:val="00124CCA"/>
    <w:rsid w:val="00124D93"/>
    <w:rsid w:val="00126256"/>
    <w:rsid w:val="00126F25"/>
    <w:rsid w:val="001278B3"/>
    <w:rsid w:val="00130806"/>
    <w:rsid w:val="001308AF"/>
    <w:rsid w:val="00130CE8"/>
    <w:rsid w:val="00130F2C"/>
    <w:rsid w:val="001313A7"/>
    <w:rsid w:val="001314C7"/>
    <w:rsid w:val="0013183D"/>
    <w:rsid w:val="00132922"/>
    <w:rsid w:val="00132C5F"/>
    <w:rsid w:val="00132E12"/>
    <w:rsid w:val="001335F0"/>
    <w:rsid w:val="00134FB9"/>
    <w:rsid w:val="00135A3D"/>
    <w:rsid w:val="00137731"/>
    <w:rsid w:val="001377B2"/>
    <w:rsid w:val="00137EB7"/>
    <w:rsid w:val="00140365"/>
    <w:rsid w:val="001404EC"/>
    <w:rsid w:val="00140521"/>
    <w:rsid w:val="00140FED"/>
    <w:rsid w:val="00141780"/>
    <w:rsid w:val="001417E7"/>
    <w:rsid w:val="0014195F"/>
    <w:rsid w:val="00141ABE"/>
    <w:rsid w:val="00141B14"/>
    <w:rsid w:val="00142491"/>
    <w:rsid w:val="00143642"/>
    <w:rsid w:val="0014375F"/>
    <w:rsid w:val="00144F59"/>
    <w:rsid w:val="00145196"/>
    <w:rsid w:val="0014546A"/>
    <w:rsid w:val="00145A1C"/>
    <w:rsid w:val="00145D6F"/>
    <w:rsid w:val="00146696"/>
    <w:rsid w:val="00147711"/>
    <w:rsid w:val="00150E39"/>
    <w:rsid w:val="00151AA5"/>
    <w:rsid w:val="0015286D"/>
    <w:rsid w:val="00153128"/>
    <w:rsid w:val="0015359D"/>
    <w:rsid w:val="001542C3"/>
    <w:rsid w:val="00154A35"/>
    <w:rsid w:val="001557B9"/>
    <w:rsid w:val="00155C4B"/>
    <w:rsid w:val="001567E6"/>
    <w:rsid w:val="00156DE2"/>
    <w:rsid w:val="00156F9B"/>
    <w:rsid w:val="00157812"/>
    <w:rsid w:val="00157E9E"/>
    <w:rsid w:val="00160D34"/>
    <w:rsid w:val="00160DF4"/>
    <w:rsid w:val="00160EB5"/>
    <w:rsid w:val="00160EDD"/>
    <w:rsid w:val="00162282"/>
    <w:rsid w:val="00162387"/>
    <w:rsid w:val="001624E8"/>
    <w:rsid w:val="001638A6"/>
    <w:rsid w:val="00163BA3"/>
    <w:rsid w:val="00164493"/>
    <w:rsid w:val="00165D52"/>
    <w:rsid w:val="00166885"/>
    <w:rsid w:val="00166948"/>
    <w:rsid w:val="00166A22"/>
    <w:rsid w:val="00166B31"/>
    <w:rsid w:val="001673F4"/>
    <w:rsid w:val="00167D54"/>
    <w:rsid w:val="00167DE6"/>
    <w:rsid w:val="001714B0"/>
    <w:rsid w:val="00171BC2"/>
    <w:rsid w:val="00171DFF"/>
    <w:rsid w:val="0017211A"/>
    <w:rsid w:val="001724ED"/>
    <w:rsid w:val="001726AC"/>
    <w:rsid w:val="001727AD"/>
    <w:rsid w:val="00172878"/>
    <w:rsid w:val="00172F33"/>
    <w:rsid w:val="001730DE"/>
    <w:rsid w:val="0017320A"/>
    <w:rsid w:val="0017360F"/>
    <w:rsid w:val="00174BCB"/>
    <w:rsid w:val="001753B2"/>
    <w:rsid w:val="001761B0"/>
    <w:rsid w:val="00176AE3"/>
    <w:rsid w:val="001774E5"/>
    <w:rsid w:val="0018049A"/>
    <w:rsid w:val="00180771"/>
    <w:rsid w:val="001817AF"/>
    <w:rsid w:val="00182A3F"/>
    <w:rsid w:val="00182B89"/>
    <w:rsid w:val="00182D3A"/>
    <w:rsid w:val="001838BA"/>
    <w:rsid w:val="00184F1B"/>
    <w:rsid w:val="001868CD"/>
    <w:rsid w:val="00187393"/>
    <w:rsid w:val="00187760"/>
    <w:rsid w:val="00190241"/>
    <w:rsid w:val="00190579"/>
    <w:rsid w:val="00191545"/>
    <w:rsid w:val="001929D4"/>
    <w:rsid w:val="00192C16"/>
    <w:rsid w:val="001930A3"/>
    <w:rsid w:val="0019347D"/>
    <w:rsid w:val="00193CC5"/>
    <w:rsid w:val="00194192"/>
    <w:rsid w:val="0019594B"/>
    <w:rsid w:val="001959FE"/>
    <w:rsid w:val="00195A02"/>
    <w:rsid w:val="00195CC6"/>
    <w:rsid w:val="001968BE"/>
    <w:rsid w:val="00196B12"/>
    <w:rsid w:val="00196EB8"/>
    <w:rsid w:val="00196F1A"/>
    <w:rsid w:val="001A0245"/>
    <w:rsid w:val="001A060E"/>
    <w:rsid w:val="001A0814"/>
    <w:rsid w:val="001A0F90"/>
    <w:rsid w:val="001A2B9C"/>
    <w:rsid w:val="001A341E"/>
    <w:rsid w:val="001A386A"/>
    <w:rsid w:val="001A3B5B"/>
    <w:rsid w:val="001A5389"/>
    <w:rsid w:val="001A63EE"/>
    <w:rsid w:val="001A684D"/>
    <w:rsid w:val="001B0259"/>
    <w:rsid w:val="001B0EA6"/>
    <w:rsid w:val="001B1C2A"/>
    <w:rsid w:val="001B1CDF"/>
    <w:rsid w:val="001B2391"/>
    <w:rsid w:val="001B3AE2"/>
    <w:rsid w:val="001B3CCC"/>
    <w:rsid w:val="001B3E83"/>
    <w:rsid w:val="001B413F"/>
    <w:rsid w:val="001B4B1C"/>
    <w:rsid w:val="001B52F2"/>
    <w:rsid w:val="001B55C6"/>
    <w:rsid w:val="001B56F4"/>
    <w:rsid w:val="001B5886"/>
    <w:rsid w:val="001B5B43"/>
    <w:rsid w:val="001B61BB"/>
    <w:rsid w:val="001B71F3"/>
    <w:rsid w:val="001B735D"/>
    <w:rsid w:val="001C02DE"/>
    <w:rsid w:val="001C0B81"/>
    <w:rsid w:val="001C1322"/>
    <w:rsid w:val="001C1CD1"/>
    <w:rsid w:val="001C1D43"/>
    <w:rsid w:val="001C325D"/>
    <w:rsid w:val="001C5462"/>
    <w:rsid w:val="001C5C94"/>
    <w:rsid w:val="001C7911"/>
    <w:rsid w:val="001C7B87"/>
    <w:rsid w:val="001D0D1E"/>
    <w:rsid w:val="001D1A9E"/>
    <w:rsid w:val="001D2576"/>
    <w:rsid w:val="001D265C"/>
    <w:rsid w:val="001D2703"/>
    <w:rsid w:val="001D3062"/>
    <w:rsid w:val="001D3158"/>
    <w:rsid w:val="001D339F"/>
    <w:rsid w:val="001D3CFB"/>
    <w:rsid w:val="001D449A"/>
    <w:rsid w:val="001D4705"/>
    <w:rsid w:val="001D5454"/>
    <w:rsid w:val="001D559B"/>
    <w:rsid w:val="001D56DE"/>
    <w:rsid w:val="001D5ED5"/>
    <w:rsid w:val="001D6097"/>
    <w:rsid w:val="001D6302"/>
    <w:rsid w:val="001D6421"/>
    <w:rsid w:val="001D688E"/>
    <w:rsid w:val="001D6FE3"/>
    <w:rsid w:val="001D72C5"/>
    <w:rsid w:val="001D735A"/>
    <w:rsid w:val="001D736E"/>
    <w:rsid w:val="001E2098"/>
    <w:rsid w:val="001E23C2"/>
    <w:rsid w:val="001E24A3"/>
    <w:rsid w:val="001E264B"/>
    <w:rsid w:val="001E2E44"/>
    <w:rsid w:val="001E3AD5"/>
    <w:rsid w:val="001E3E83"/>
    <w:rsid w:val="001E3FBB"/>
    <w:rsid w:val="001E4A32"/>
    <w:rsid w:val="001E7089"/>
    <w:rsid w:val="001E740C"/>
    <w:rsid w:val="001E7DD0"/>
    <w:rsid w:val="001E7DF6"/>
    <w:rsid w:val="001E7E03"/>
    <w:rsid w:val="001E7FEE"/>
    <w:rsid w:val="001F0986"/>
    <w:rsid w:val="001F0A94"/>
    <w:rsid w:val="001F0F83"/>
    <w:rsid w:val="001F1045"/>
    <w:rsid w:val="001F174C"/>
    <w:rsid w:val="001F1BDA"/>
    <w:rsid w:val="001F2ABC"/>
    <w:rsid w:val="001F37B4"/>
    <w:rsid w:val="001F46F1"/>
    <w:rsid w:val="001F521E"/>
    <w:rsid w:val="001F6B3B"/>
    <w:rsid w:val="002002EE"/>
    <w:rsid w:val="0020095E"/>
    <w:rsid w:val="00200987"/>
    <w:rsid w:val="00200DDC"/>
    <w:rsid w:val="002013A5"/>
    <w:rsid w:val="00201487"/>
    <w:rsid w:val="002020D9"/>
    <w:rsid w:val="0020253A"/>
    <w:rsid w:val="002040FF"/>
    <w:rsid w:val="002042EB"/>
    <w:rsid w:val="00204EF9"/>
    <w:rsid w:val="002050A0"/>
    <w:rsid w:val="0020554C"/>
    <w:rsid w:val="00205654"/>
    <w:rsid w:val="0020662E"/>
    <w:rsid w:val="0020664D"/>
    <w:rsid w:val="002077EE"/>
    <w:rsid w:val="00207B04"/>
    <w:rsid w:val="00210A44"/>
    <w:rsid w:val="00210D30"/>
    <w:rsid w:val="00211320"/>
    <w:rsid w:val="00211956"/>
    <w:rsid w:val="002157D6"/>
    <w:rsid w:val="00215DC3"/>
    <w:rsid w:val="00216024"/>
    <w:rsid w:val="002167FF"/>
    <w:rsid w:val="002178F2"/>
    <w:rsid w:val="002200B9"/>
    <w:rsid w:val="002204FD"/>
    <w:rsid w:val="0022116C"/>
    <w:rsid w:val="00221AED"/>
    <w:rsid w:val="00221DEF"/>
    <w:rsid w:val="00222FFB"/>
    <w:rsid w:val="0022461E"/>
    <w:rsid w:val="00224C2C"/>
    <w:rsid w:val="00224D76"/>
    <w:rsid w:val="002262F8"/>
    <w:rsid w:val="00226830"/>
    <w:rsid w:val="00226862"/>
    <w:rsid w:val="00226B4E"/>
    <w:rsid w:val="00226B77"/>
    <w:rsid w:val="00226F87"/>
    <w:rsid w:val="0022704B"/>
    <w:rsid w:val="00227334"/>
    <w:rsid w:val="002277CC"/>
    <w:rsid w:val="00227CFF"/>
    <w:rsid w:val="00227E41"/>
    <w:rsid w:val="002308B5"/>
    <w:rsid w:val="002329F5"/>
    <w:rsid w:val="00232A26"/>
    <w:rsid w:val="00233607"/>
    <w:rsid w:val="00233B43"/>
    <w:rsid w:val="002349CE"/>
    <w:rsid w:val="00234A34"/>
    <w:rsid w:val="00235B3F"/>
    <w:rsid w:val="002370AF"/>
    <w:rsid w:val="002374B0"/>
    <w:rsid w:val="00237BAD"/>
    <w:rsid w:val="00237DEA"/>
    <w:rsid w:val="00237E22"/>
    <w:rsid w:val="00240069"/>
    <w:rsid w:val="002409B2"/>
    <w:rsid w:val="002409F7"/>
    <w:rsid w:val="002420E9"/>
    <w:rsid w:val="002434F3"/>
    <w:rsid w:val="002439E1"/>
    <w:rsid w:val="00243CD0"/>
    <w:rsid w:val="002456F0"/>
    <w:rsid w:val="00247C5A"/>
    <w:rsid w:val="00247F3F"/>
    <w:rsid w:val="0025035E"/>
    <w:rsid w:val="00250CFF"/>
    <w:rsid w:val="00250DD7"/>
    <w:rsid w:val="00251D7E"/>
    <w:rsid w:val="00252182"/>
    <w:rsid w:val="00252316"/>
    <w:rsid w:val="0025255D"/>
    <w:rsid w:val="0025375C"/>
    <w:rsid w:val="00255416"/>
    <w:rsid w:val="00255EE3"/>
    <w:rsid w:val="00256207"/>
    <w:rsid w:val="00256276"/>
    <w:rsid w:val="0025644E"/>
    <w:rsid w:val="002564B4"/>
    <w:rsid w:val="00256922"/>
    <w:rsid w:val="00257289"/>
    <w:rsid w:val="00257BD4"/>
    <w:rsid w:val="00257E2D"/>
    <w:rsid w:val="0026043F"/>
    <w:rsid w:val="00263145"/>
    <w:rsid w:val="002631E6"/>
    <w:rsid w:val="00263524"/>
    <w:rsid w:val="002638F5"/>
    <w:rsid w:val="00263B62"/>
    <w:rsid w:val="00263E28"/>
    <w:rsid w:val="00264B3D"/>
    <w:rsid w:val="002652E8"/>
    <w:rsid w:val="002656B7"/>
    <w:rsid w:val="00265854"/>
    <w:rsid w:val="00266356"/>
    <w:rsid w:val="00266CB9"/>
    <w:rsid w:val="00266E86"/>
    <w:rsid w:val="00267276"/>
    <w:rsid w:val="0026743C"/>
    <w:rsid w:val="00270480"/>
    <w:rsid w:val="0027098F"/>
    <w:rsid w:val="00270C4B"/>
    <w:rsid w:val="002718D6"/>
    <w:rsid w:val="0027266F"/>
    <w:rsid w:val="0027352E"/>
    <w:rsid w:val="002754F9"/>
    <w:rsid w:val="00275583"/>
    <w:rsid w:val="002759C9"/>
    <w:rsid w:val="002760E8"/>
    <w:rsid w:val="00276EAC"/>
    <w:rsid w:val="00277070"/>
    <w:rsid w:val="002779AF"/>
    <w:rsid w:val="00280285"/>
    <w:rsid w:val="00280511"/>
    <w:rsid w:val="00280C29"/>
    <w:rsid w:val="00280C75"/>
    <w:rsid w:val="00280E03"/>
    <w:rsid w:val="002823D8"/>
    <w:rsid w:val="0028245C"/>
    <w:rsid w:val="002834E3"/>
    <w:rsid w:val="002835C1"/>
    <w:rsid w:val="002838D1"/>
    <w:rsid w:val="00284ABD"/>
    <w:rsid w:val="00285106"/>
    <w:rsid w:val="0028531A"/>
    <w:rsid w:val="00285446"/>
    <w:rsid w:val="00285C04"/>
    <w:rsid w:val="002861CB"/>
    <w:rsid w:val="002866EC"/>
    <w:rsid w:val="00286945"/>
    <w:rsid w:val="002869DF"/>
    <w:rsid w:val="00287227"/>
    <w:rsid w:val="00287333"/>
    <w:rsid w:val="00287350"/>
    <w:rsid w:val="00287C72"/>
    <w:rsid w:val="00290FC6"/>
    <w:rsid w:val="00291092"/>
    <w:rsid w:val="002916B2"/>
    <w:rsid w:val="00291D14"/>
    <w:rsid w:val="00292F42"/>
    <w:rsid w:val="00293131"/>
    <w:rsid w:val="002931A1"/>
    <w:rsid w:val="00294C1A"/>
    <w:rsid w:val="00295593"/>
    <w:rsid w:val="0029588D"/>
    <w:rsid w:val="0029588F"/>
    <w:rsid w:val="00295C2F"/>
    <w:rsid w:val="00295DA5"/>
    <w:rsid w:val="00295DDA"/>
    <w:rsid w:val="00296CC4"/>
    <w:rsid w:val="00296FEC"/>
    <w:rsid w:val="00297823"/>
    <w:rsid w:val="00297E32"/>
    <w:rsid w:val="002A1513"/>
    <w:rsid w:val="002A1C8F"/>
    <w:rsid w:val="002A1E2B"/>
    <w:rsid w:val="002A354F"/>
    <w:rsid w:val="002A386C"/>
    <w:rsid w:val="002A4545"/>
    <w:rsid w:val="002A469C"/>
    <w:rsid w:val="002A6F97"/>
    <w:rsid w:val="002B0331"/>
    <w:rsid w:val="002B0470"/>
    <w:rsid w:val="002B059E"/>
    <w:rsid w:val="002B0B34"/>
    <w:rsid w:val="002B0FC8"/>
    <w:rsid w:val="002B104B"/>
    <w:rsid w:val="002B2907"/>
    <w:rsid w:val="002B2BB7"/>
    <w:rsid w:val="002B318B"/>
    <w:rsid w:val="002B3BCE"/>
    <w:rsid w:val="002B3F25"/>
    <w:rsid w:val="002B403C"/>
    <w:rsid w:val="002B40EF"/>
    <w:rsid w:val="002B540D"/>
    <w:rsid w:val="002B568B"/>
    <w:rsid w:val="002B5864"/>
    <w:rsid w:val="002B656C"/>
    <w:rsid w:val="002C0996"/>
    <w:rsid w:val="002C09A6"/>
    <w:rsid w:val="002C153E"/>
    <w:rsid w:val="002C1AB2"/>
    <w:rsid w:val="002C1E4C"/>
    <w:rsid w:val="002C2323"/>
    <w:rsid w:val="002C262F"/>
    <w:rsid w:val="002C30BC"/>
    <w:rsid w:val="002C3479"/>
    <w:rsid w:val="002C34F0"/>
    <w:rsid w:val="002C3F10"/>
    <w:rsid w:val="002C4417"/>
    <w:rsid w:val="002C46CE"/>
    <w:rsid w:val="002C4864"/>
    <w:rsid w:val="002C52AE"/>
    <w:rsid w:val="002C5965"/>
    <w:rsid w:val="002C6404"/>
    <w:rsid w:val="002C67AD"/>
    <w:rsid w:val="002C6C4E"/>
    <w:rsid w:val="002C7A88"/>
    <w:rsid w:val="002D05AF"/>
    <w:rsid w:val="002D066E"/>
    <w:rsid w:val="002D08DE"/>
    <w:rsid w:val="002D0979"/>
    <w:rsid w:val="002D0A4D"/>
    <w:rsid w:val="002D0DF8"/>
    <w:rsid w:val="002D1054"/>
    <w:rsid w:val="002D1AAA"/>
    <w:rsid w:val="002D232B"/>
    <w:rsid w:val="002D2759"/>
    <w:rsid w:val="002D29DF"/>
    <w:rsid w:val="002D37E3"/>
    <w:rsid w:val="002D37EF"/>
    <w:rsid w:val="002D3A85"/>
    <w:rsid w:val="002D42A6"/>
    <w:rsid w:val="002D524C"/>
    <w:rsid w:val="002D5E00"/>
    <w:rsid w:val="002D6853"/>
    <w:rsid w:val="002D6DAC"/>
    <w:rsid w:val="002D7E31"/>
    <w:rsid w:val="002E014C"/>
    <w:rsid w:val="002E1061"/>
    <w:rsid w:val="002E2267"/>
    <w:rsid w:val="002E261D"/>
    <w:rsid w:val="002E33E6"/>
    <w:rsid w:val="002E3AE3"/>
    <w:rsid w:val="002E3D4F"/>
    <w:rsid w:val="002E3FAD"/>
    <w:rsid w:val="002E4670"/>
    <w:rsid w:val="002E4E16"/>
    <w:rsid w:val="002E58FA"/>
    <w:rsid w:val="002E59E1"/>
    <w:rsid w:val="002E5FF5"/>
    <w:rsid w:val="002E6448"/>
    <w:rsid w:val="002E6555"/>
    <w:rsid w:val="002E6627"/>
    <w:rsid w:val="002E7790"/>
    <w:rsid w:val="002E7828"/>
    <w:rsid w:val="002E7C9B"/>
    <w:rsid w:val="002F097D"/>
    <w:rsid w:val="002F17C9"/>
    <w:rsid w:val="002F30EB"/>
    <w:rsid w:val="002F3C69"/>
    <w:rsid w:val="002F3F41"/>
    <w:rsid w:val="002F4C8F"/>
    <w:rsid w:val="002F6DAC"/>
    <w:rsid w:val="002F7B75"/>
    <w:rsid w:val="003004E5"/>
    <w:rsid w:val="003013A6"/>
    <w:rsid w:val="00301811"/>
    <w:rsid w:val="00301914"/>
    <w:rsid w:val="00301D0D"/>
    <w:rsid w:val="00301DAB"/>
    <w:rsid w:val="00301E8C"/>
    <w:rsid w:val="00302A09"/>
    <w:rsid w:val="00302DFC"/>
    <w:rsid w:val="00302FDA"/>
    <w:rsid w:val="00302FE7"/>
    <w:rsid w:val="00304818"/>
    <w:rsid w:val="003053C4"/>
    <w:rsid w:val="003055CE"/>
    <w:rsid w:val="00306DC1"/>
    <w:rsid w:val="003075E4"/>
    <w:rsid w:val="00307939"/>
    <w:rsid w:val="00307ABF"/>
    <w:rsid w:val="00307B2D"/>
    <w:rsid w:val="0031057E"/>
    <w:rsid w:val="003114FC"/>
    <w:rsid w:val="0031412B"/>
    <w:rsid w:val="00314389"/>
    <w:rsid w:val="003146E9"/>
    <w:rsid w:val="00314BC5"/>
    <w:rsid w:val="00314C69"/>
    <w:rsid w:val="00314D5D"/>
    <w:rsid w:val="003150F2"/>
    <w:rsid w:val="00315560"/>
    <w:rsid w:val="00315784"/>
    <w:rsid w:val="0031721F"/>
    <w:rsid w:val="00317D4D"/>
    <w:rsid w:val="00320009"/>
    <w:rsid w:val="0032003D"/>
    <w:rsid w:val="003205E7"/>
    <w:rsid w:val="00320CAD"/>
    <w:rsid w:val="00321957"/>
    <w:rsid w:val="00321A7A"/>
    <w:rsid w:val="00321AFB"/>
    <w:rsid w:val="00321E7D"/>
    <w:rsid w:val="00321E8A"/>
    <w:rsid w:val="00322343"/>
    <w:rsid w:val="00322B90"/>
    <w:rsid w:val="00323DE4"/>
    <w:rsid w:val="0032424A"/>
    <w:rsid w:val="003244DF"/>
    <w:rsid w:val="003245D3"/>
    <w:rsid w:val="0032470A"/>
    <w:rsid w:val="00325298"/>
    <w:rsid w:val="0032532A"/>
    <w:rsid w:val="0032583B"/>
    <w:rsid w:val="00325C60"/>
    <w:rsid w:val="00326C5A"/>
    <w:rsid w:val="003274C4"/>
    <w:rsid w:val="0032776C"/>
    <w:rsid w:val="00327AB5"/>
    <w:rsid w:val="00327C3B"/>
    <w:rsid w:val="0033072D"/>
    <w:rsid w:val="00330AA3"/>
    <w:rsid w:val="00330AE5"/>
    <w:rsid w:val="003312B5"/>
    <w:rsid w:val="00331584"/>
    <w:rsid w:val="00331F3D"/>
    <w:rsid w:val="00332779"/>
    <w:rsid w:val="00332ED0"/>
    <w:rsid w:val="00333628"/>
    <w:rsid w:val="00333680"/>
    <w:rsid w:val="00333A06"/>
    <w:rsid w:val="00333F5E"/>
    <w:rsid w:val="00334259"/>
    <w:rsid w:val="00334987"/>
    <w:rsid w:val="00335D54"/>
    <w:rsid w:val="003362A2"/>
    <w:rsid w:val="00336CAF"/>
    <w:rsid w:val="00337D48"/>
    <w:rsid w:val="00340C69"/>
    <w:rsid w:val="00340DDC"/>
    <w:rsid w:val="00341544"/>
    <w:rsid w:val="003420F3"/>
    <w:rsid w:val="00342E34"/>
    <w:rsid w:val="0034381F"/>
    <w:rsid w:val="00343A85"/>
    <w:rsid w:val="00343B1E"/>
    <w:rsid w:val="00343EC1"/>
    <w:rsid w:val="00343FD9"/>
    <w:rsid w:val="00344057"/>
    <w:rsid w:val="0034484F"/>
    <w:rsid w:val="00344F9B"/>
    <w:rsid w:val="00345A38"/>
    <w:rsid w:val="00346831"/>
    <w:rsid w:val="003477FD"/>
    <w:rsid w:val="0034783D"/>
    <w:rsid w:val="003478B0"/>
    <w:rsid w:val="00347DEA"/>
    <w:rsid w:val="0035088E"/>
    <w:rsid w:val="00350EB8"/>
    <w:rsid w:val="003514EA"/>
    <w:rsid w:val="003529D6"/>
    <w:rsid w:val="003530E7"/>
    <w:rsid w:val="003532C0"/>
    <w:rsid w:val="00353C23"/>
    <w:rsid w:val="00353C5B"/>
    <w:rsid w:val="00354669"/>
    <w:rsid w:val="00354B65"/>
    <w:rsid w:val="00355154"/>
    <w:rsid w:val="0035555B"/>
    <w:rsid w:val="003557BE"/>
    <w:rsid w:val="00355A05"/>
    <w:rsid w:val="00355C1B"/>
    <w:rsid w:val="00355EC7"/>
    <w:rsid w:val="00356326"/>
    <w:rsid w:val="003566E2"/>
    <w:rsid w:val="00356C84"/>
    <w:rsid w:val="00360093"/>
    <w:rsid w:val="00360976"/>
    <w:rsid w:val="00362305"/>
    <w:rsid w:val="00362A49"/>
    <w:rsid w:val="00362F80"/>
    <w:rsid w:val="003633BC"/>
    <w:rsid w:val="0036418E"/>
    <w:rsid w:val="00365312"/>
    <w:rsid w:val="00365EAB"/>
    <w:rsid w:val="003664EF"/>
    <w:rsid w:val="00366DEE"/>
    <w:rsid w:val="00366E6D"/>
    <w:rsid w:val="00366FF4"/>
    <w:rsid w:val="003700FC"/>
    <w:rsid w:val="0037185F"/>
    <w:rsid w:val="00371CF1"/>
    <w:rsid w:val="003727E5"/>
    <w:rsid w:val="00373128"/>
    <w:rsid w:val="00373DC9"/>
    <w:rsid w:val="003748A0"/>
    <w:rsid w:val="00374C6D"/>
    <w:rsid w:val="003750C1"/>
    <w:rsid w:val="003755F1"/>
    <w:rsid w:val="00375710"/>
    <w:rsid w:val="00375BF5"/>
    <w:rsid w:val="00377716"/>
    <w:rsid w:val="00377840"/>
    <w:rsid w:val="0038015D"/>
    <w:rsid w:val="0038045E"/>
    <w:rsid w:val="00380AF7"/>
    <w:rsid w:val="00381A20"/>
    <w:rsid w:val="00382074"/>
    <w:rsid w:val="00382B29"/>
    <w:rsid w:val="00383423"/>
    <w:rsid w:val="00383451"/>
    <w:rsid w:val="003836CA"/>
    <w:rsid w:val="00384159"/>
    <w:rsid w:val="0038434D"/>
    <w:rsid w:val="003844C2"/>
    <w:rsid w:val="00384875"/>
    <w:rsid w:val="00384E56"/>
    <w:rsid w:val="00384FCA"/>
    <w:rsid w:val="003864E6"/>
    <w:rsid w:val="0038657D"/>
    <w:rsid w:val="00386A31"/>
    <w:rsid w:val="0038757F"/>
    <w:rsid w:val="00390202"/>
    <w:rsid w:val="0039069C"/>
    <w:rsid w:val="00390ED0"/>
    <w:rsid w:val="003928CE"/>
    <w:rsid w:val="00392AF1"/>
    <w:rsid w:val="00394298"/>
    <w:rsid w:val="003945CC"/>
    <w:rsid w:val="00394A05"/>
    <w:rsid w:val="003954A4"/>
    <w:rsid w:val="00395DC9"/>
    <w:rsid w:val="00396802"/>
    <w:rsid w:val="00396ACD"/>
    <w:rsid w:val="00397770"/>
    <w:rsid w:val="00397880"/>
    <w:rsid w:val="00397FC5"/>
    <w:rsid w:val="003A069B"/>
    <w:rsid w:val="003A0F53"/>
    <w:rsid w:val="003A10F2"/>
    <w:rsid w:val="003A1AA0"/>
    <w:rsid w:val="003A2223"/>
    <w:rsid w:val="003A2255"/>
    <w:rsid w:val="003A231E"/>
    <w:rsid w:val="003A24A9"/>
    <w:rsid w:val="003A2EBA"/>
    <w:rsid w:val="003A33AE"/>
    <w:rsid w:val="003A3644"/>
    <w:rsid w:val="003A36D7"/>
    <w:rsid w:val="003A40F2"/>
    <w:rsid w:val="003A435C"/>
    <w:rsid w:val="003A480C"/>
    <w:rsid w:val="003A4966"/>
    <w:rsid w:val="003A4DAF"/>
    <w:rsid w:val="003A4EAD"/>
    <w:rsid w:val="003A52B5"/>
    <w:rsid w:val="003A5C2F"/>
    <w:rsid w:val="003A6583"/>
    <w:rsid w:val="003A7016"/>
    <w:rsid w:val="003B07B0"/>
    <w:rsid w:val="003B083A"/>
    <w:rsid w:val="003B0C08"/>
    <w:rsid w:val="003B1379"/>
    <w:rsid w:val="003B2062"/>
    <w:rsid w:val="003B2780"/>
    <w:rsid w:val="003B3071"/>
    <w:rsid w:val="003B49F6"/>
    <w:rsid w:val="003B4D00"/>
    <w:rsid w:val="003B4EF4"/>
    <w:rsid w:val="003B5D2B"/>
    <w:rsid w:val="003B6443"/>
    <w:rsid w:val="003B6E9C"/>
    <w:rsid w:val="003B78E8"/>
    <w:rsid w:val="003C07D0"/>
    <w:rsid w:val="003C0B6E"/>
    <w:rsid w:val="003C0E5F"/>
    <w:rsid w:val="003C1478"/>
    <w:rsid w:val="003C16C8"/>
    <w:rsid w:val="003C17A5"/>
    <w:rsid w:val="003C268A"/>
    <w:rsid w:val="003C2927"/>
    <w:rsid w:val="003C33B2"/>
    <w:rsid w:val="003C3A7D"/>
    <w:rsid w:val="003C41B9"/>
    <w:rsid w:val="003C477C"/>
    <w:rsid w:val="003C4E01"/>
    <w:rsid w:val="003C5E6F"/>
    <w:rsid w:val="003C6782"/>
    <w:rsid w:val="003C7200"/>
    <w:rsid w:val="003D0733"/>
    <w:rsid w:val="003D1552"/>
    <w:rsid w:val="003D192B"/>
    <w:rsid w:val="003D338C"/>
    <w:rsid w:val="003D3816"/>
    <w:rsid w:val="003D45D3"/>
    <w:rsid w:val="003D4D3B"/>
    <w:rsid w:val="003D5059"/>
    <w:rsid w:val="003D5062"/>
    <w:rsid w:val="003D58A1"/>
    <w:rsid w:val="003D6200"/>
    <w:rsid w:val="003D6584"/>
    <w:rsid w:val="003E02A9"/>
    <w:rsid w:val="003E03AA"/>
    <w:rsid w:val="003E09DD"/>
    <w:rsid w:val="003E1418"/>
    <w:rsid w:val="003E228C"/>
    <w:rsid w:val="003E2669"/>
    <w:rsid w:val="003E2806"/>
    <w:rsid w:val="003E2A7E"/>
    <w:rsid w:val="003E2CF7"/>
    <w:rsid w:val="003E2D27"/>
    <w:rsid w:val="003E3557"/>
    <w:rsid w:val="003E3EAE"/>
    <w:rsid w:val="003E4046"/>
    <w:rsid w:val="003E4B12"/>
    <w:rsid w:val="003E5563"/>
    <w:rsid w:val="003E624A"/>
    <w:rsid w:val="003E63BF"/>
    <w:rsid w:val="003E6488"/>
    <w:rsid w:val="003E6C32"/>
    <w:rsid w:val="003E72DF"/>
    <w:rsid w:val="003E7607"/>
    <w:rsid w:val="003E7E12"/>
    <w:rsid w:val="003F003A"/>
    <w:rsid w:val="003F125B"/>
    <w:rsid w:val="003F12D3"/>
    <w:rsid w:val="003F18FF"/>
    <w:rsid w:val="003F218E"/>
    <w:rsid w:val="003F2D3B"/>
    <w:rsid w:val="003F2E34"/>
    <w:rsid w:val="003F3A3A"/>
    <w:rsid w:val="003F56CD"/>
    <w:rsid w:val="003F6BA2"/>
    <w:rsid w:val="003F6D44"/>
    <w:rsid w:val="003F7001"/>
    <w:rsid w:val="003F704A"/>
    <w:rsid w:val="003F7387"/>
    <w:rsid w:val="003F7B3F"/>
    <w:rsid w:val="0040006E"/>
    <w:rsid w:val="00400145"/>
    <w:rsid w:val="00401A24"/>
    <w:rsid w:val="00402C79"/>
    <w:rsid w:val="004035B7"/>
    <w:rsid w:val="0040393C"/>
    <w:rsid w:val="00404723"/>
    <w:rsid w:val="00404D5B"/>
    <w:rsid w:val="00405000"/>
    <w:rsid w:val="004050F8"/>
    <w:rsid w:val="004051F6"/>
    <w:rsid w:val="004055AC"/>
    <w:rsid w:val="0040577E"/>
    <w:rsid w:val="004058AD"/>
    <w:rsid w:val="00405CB6"/>
    <w:rsid w:val="004073EF"/>
    <w:rsid w:val="00407932"/>
    <w:rsid w:val="00407971"/>
    <w:rsid w:val="004079D5"/>
    <w:rsid w:val="00407F92"/>
    <w:rsid w:val="00410012"/>
    <w:rsid w:val="00410553"/>
    <w:rsid w:val="0041078D"/>
    <w:rsid w:val="00410B1E"/>
    <w:rsid w:val="00410FBB"/>
    <w:rsid w:val="0041217E"/>
    <w:rsid w:val="00412CBC"/>
    <w:rsid w:val="00414F60"/>
    <w:rsid w:val="00416F97"/>
    <w:rsid w:val="004175B6"/>
    <w:rsid w:val="00417737"/>
    <w:rsid w:val="004178A4"/>
    <w:rsid w:val="00417E30"/>
    <w:rsid w:val="00420933"/>
    <w:rsid w:val="00420C55"/>
    <w:rsid w:val="004213C0"/>
    <w:rsid w:val="00422FAC"/>
    <w:rsid w:val="004241F5"/>
    <w:rsid w:val="00425EE3"/>
    <w:rsid w:val="00426132"/>
    <w:rsid w:val="0042613B"/>
    <w:rsid w:val="00426A82"/>
    <w:rsid w:val="00427133"/>
    <w:rsid w:val="004276AF"/>
    <w:rsid w:val="00427B7D"/>
    <w:rsid w:val="00430103"/>
    <w:rsid w:val="0043031B"/>
    <w:rsid w:val="0043039B"/>
    <w:rsid w:val="00431231"/>
    <w:rsid w:val="00431A02"/>
    <w:rsid w:val="00431E40"/>
    <w:rsid w:val="00432087"/>
    <w:rsid w:val="0043284A"/>
    <w:rsid w:val="00433110"/>
    <w:rsid w:val="00433219"/>
    <w:rsid w:val="00433B08"/>
    <w:rsid w:val="00434592"/>
    <w:rsid w:val="00434BE7"/>
    <w:rsid w:val="004368A9"/>
    <w:rsid w:val="0044029B"/>
    <w:rsid w:val="0044045B"/>
    <w:rsid w:val="0044070E"/>
    <w:rsid w:val="004412F6"/>
    <w:rsid w:val="00441DA9"/>
    <w:rsid w:val="004423FE"/>
    <w:rsid w:val="004431E7"/>
    <w:rsid w:val="00443964"/>
    <w:rsid w:val="00444073"/>
    <w:rsid w:val="004443C4"/>
    <w:rsid w:val="004455D8"/>
    <w:rsid w:val="00445C35"/>
    <w:rsid w:val="00445DC8"/>
    <w:rsid w:val="0044647F"/>
    <w:rsid w:val="0044649A"/>
    <w:rsid w:val="0044695D"/>
    <w:rsid w:val="0044780D"/>
    <w:rsid w:val="00447E4D"/>
    <w:rsid w:val="00447E9E"/>
    <w:rsid w:val="0045267C"/>
    <w:rsid w:val="004526A7"/>
    <w:rsid w:val="004528FD"/>
    <w:rsid w:val="00452933"/>
    <w:rsid w:val="00452A3A"/>
    <w:rsid w:val="00452D39"/>
    <w:rsid w:val="00454206"/>
    <w:rsid w:val="0045663A"/>
    <w:rsid w:val="00456CA7"/>
    <w:rsid w:val="00457A22"/>
    <w:rsid w:val="00457F71"/>
    <w:rsid w:val="004604AC"/>
    <w:rsid w:val="0046160E"/>
    <w:rsid w:val="004619AE"/>
    <w:rsid w:val="00461D29"/>
    <w:rsid w:val="00462042"/>
    <w:rsid w:val="004626D0"/>
    <w:rsid w:val="0046303D"/>
    <w:rsid w:val="0046344E"/>
    <w:rsid w:val="00464063"/>
    <w:rsid w:val="0046415D"/>
    <w:rsid w:val="00464264"/>
    <w:rsid w:val="00464309"/>
    <w:rsid w:val="004647CF"/>
    <w:rsid w:val="00464CB3"/>
    <w:rsid w:val="00465687"/>
    <w:rsid w:val="004667E7"/>
    <w:rsid w:val="00466CFF"/>
    <w:rsid w:val="00466E8B"/>
    <w:rsid w:val="004676EE"/>
    <w:rsid w:val="00470087"/>
    <w:rsid w:val="00470382"/>
    <w:rsid w:val="0047062B"/>
    <w:rsid w:val="0047078D"/>
    <w:rsid w:val="00470BC0"/>
    <w:rsid w:val="00471B10"/>
    <w:rsid w:val="00471E37"/>
    <w:rsid w:val="00472BDD"/>
    <w:rsid w:val="004734DA"/>
    <w:rsid w:val="00473D69"/>
    <w:rsid w:val="004750D8"/>
    <w:rsid w:val="00475797"/>
    <w:rsid w:val="00475DD0"/>
    <w:rsid w:val="00476376"/>
    <w:rsid w:val="00476739"/>
    <w:rsid w:val="00476D0A"/>
    <w:rsid w:val="00480616"/>
    <w:rsid w:val="00481192"/>
    <w:rsid w:val="004816AD"/>
    <w:rsid w:val="00483038"/>
    <w:rsid w:val="00484336"/>
    <w:rsid w:val="004844B6"/>
    <w:rsid w:val="0048582A"/>
    <w:rsid w:val="0048654F"/>
    <w:rsid w:val="00486606"/>
    <w:rsid w:val="004866B8"/>
    <w:rsid w:val="00487312"/>
    <w:rsid w:val="0048782D"/>
    <w:rsid w:val="0049082C"/>
    <w:rsid w:val="00491119"/>
    <w:rsid w:val="004924DA"/>
    <w:rsid w:val="0049253B"/>
    <w:rsid w:val="00492641"/>
    <w:rsid w:val="00492FA1"/>
    <w:rsid w:val="004938C0"/>
    <w:rsid w:val="00493BA5"/>
    <w:rsid w:val="00493CD5"/>
    <w:rsid w:val="00496120"/>
    <w:rsid w:val="00496EC6"/>
    <w:rsid w:val="004A03DB"/>
    <w:rsid w:val="004A063D"/>
    <w:rsid w:val="004A08ED"/>
    <w:rsid w:val="004A140B"/>
    <w:rsid w:val="004A14CD"/>
    <w:rsid w:val="004A186C"/>
    <w:rsid w:val="004A19CD"/>
    <w:rsid w:val="004A1E9D"/>
    <w:rsid w:val="004A24E5"/>
    <w:rsid w:val="004A2C9E"/>
    <w:rsid w:val="004A2CBF"/>
    <w:rsid w:val="004A2F41"/>
    <w:rsid w:val="004A3325"/>
    <w:rsid w:val="004A34DA"/>
    <w:rsid w:val="004A3B4F"/>
    <w:rsid w:val="004A63EB"/>
    <w:rsid w:val="004A674D"/>
    <w:rsid w:val="004A6CDA"/>
    <w:rsid w:val="004A747C"/>
    <w:rsid w:val="004B001F"/>
    <w:rsid w:val="004B136A"/>
    <w:rsid w:val="004B183D"/>
    <w:rsid w:val="004B1AE1"/>
    <w:rsid w:val="004B213A"/>
    <w:rsid w:val="004B27E1"/>
    <w:rsid w:val="004B2F9A"/>
    <w:rsid w:val="004B3103"/>
    <w:rsid w:val="004B3214"/>
    <w:rsid w:val="004B332A"/>
    <w:rsid w:val="004B37AF"/>
    <w:rsid w:val="004B38AC"/>
    <w:rsid w:val="004B3F3D"/>
    <w:rsid w:val="004B4D67"/>
    <w:rsid w:val="004B4E87"/>
    <w:rsid w:val="004B5D84"/>
    <w:rsid w:val="004B611B"/>
    <w:rsid w:val="004B6A54"/>
    <w:rsid w:val="004B6BCE"/>
    <w:rsid w:val="004B7660"/>
    <w:rsid w:val="004B7B5D"/>
    <w:rsid w:val="004B7BAA"/>
    <w:rsid w:val="004C0364"/>
    <w:rsid w:val="004C1E2F"/>
    <w:rsid w:val="004C28FE"/>
    <w:rsid w:val="004C2DF7"/>
    <w:rsid w:val="004C3A9C"/>
    <w:rsid w:val="004C42F0"/>
    <w:rsid w:val="004C43D1"/>
    <w:rsid w:val="004C45C6"/>
    <w:rsid w:val="004C4E0B"/>
    <w:rsid w:val="004C52AF"/>
    <w:rsid w:val="004C5400"/>
    <w:rsid w:val="004C5646"/>
    <w:rsid w:val="004C5819"/>
    <w:rsid w:val="004C5C00"/>
    <w:rsid w:val="004C5E22"/>
    <w:rsid w:val="004C60C6"/>
    <w:rsid w:val="004C61AB"/>
    <w:rsid w:val="004C7454"/>
    <w:rsid w:val="004C7BE5"/>
    <w:rsid w:val="004D0692"/>
    <w:rsid w:val="004D126E"/>
    <w:rsid w:val="004D14DE"/>
    <w:rsid w:val="004D198D"/>
    <w:rsid w:val="004D1C80"/>
    <w:rsid w:val="004D24F3"/>
    <w:rsid w:val="004D38D8"/>
    <w:rsid w:val="004D45AF"/>
    <w:rsid w:val="004D497E"/>
    <w:rsid w:val="004D4C29"/>
    <w:rsid w:val="004D6482"/>
    <w:rsid w:val="004D664F"/>
    <w:rsid w:val="004D6A3D"/>
    <w:rsid w:val="004D7D70"/>
    <w:rsid w:val="004E0708"/>
    <w:rsid w:val="004E11CB"/>
    <w:rsid w:val="004E2258"/>
    <w:rsid w:val="004E2AE6"/>
    <w:rsid w:val="004E44E3"/>
    <w:rsid w:val="004E4809"/>
    <w:rsid w:val="004E4AEB"/>
    <w:rsid w:val="004E4D78"/>
    <w:rsid w:val="004E5985"/>
    <w:rsid w:val="004E6352"/>
    <w:rsid w:val="004E63BA"/>
    <w:rsid w:val="004E6460"/>
    <w:rsid w:val="004E719B"/>
    <w:rsid w:val="004E799D"/>
    <w:rsid w:val="004E7C84"/>
    <w:rsid w:val="004F1CFD"/>
    <w:rsid w:val="004F294E"/>
    <w:rsid w:val="004F3581"/>
    <w:rsid w:val="004F43A4"/>
    <w:rsid w:val="004F43F8"/>
    <w:rsid w:val="004F4604"/>
    <w:rsid w:val="004F4A8D"/>
    <w:rsid w:val="004F4B2D"/>
    <w:rsid w:val="004F5A08"/>
    <w:rsid w:val="004F5C0B"/>
    <w:rsid w:val="004F65A6"/>
    <w:rsid w:val="004F6B46"/>
    <w:rsid w:val="004F6BBA"/>
    <w:rsid w:val="004F6DBE"/>
    <w:rsid w:val="004F710E"/>
    <w:rsid w:val="005013C1"/>
    <w:rsid w:val="005017DE"/>
    <w:rsid w:val="00501819"/>
    <w:rsid w:val="0050227E"/>
    <w:rsid w:val="0050284A"/>
    <w:rsid w:val="00502E41"/>
    <w:rsid w:val="005041FE"/>
    <w:rsid w:val="00504ECE"/>
    <w:rsid w:val="00506457"/>
    <w:rsid w:val="00507D33"/>
    <w:rsid w:val="0051022D"/>
    <w:rsid w:val="00511999"/>
    <w:rsid w:val="00512648"/>
    <w:rsid w:val="005127A6"/>
    <w:rsid w:val="00512F64"/>
    <w:rsid w:val="005145D6"/>
    <w:rsid w:val="00514889"/>
    <w:rsid w:val="00515E2E"/>
    <w:rsid w:val="005160E3"/>
    <w:rsid w:val="00516555"/>
    <w:rsid w:val="00516808"/>
    <w:rsid w:val="00520B3F"/>
    <w:rsid w:val="00521E84"/>
    <w:rsid w:val="00521EA5"/>
    <w:rsid w:val="0052235E"/>
    <w:rsid w:val="00523638"/>
    <w:rsid w:val="00525B80"/>
    <w:rsid w:val="00525E8D"/>
    <w:rsid w:val="00526B95"/>
    <w:rsid w:val="00527870"/>
    <w:rsid w:val="0053039D"/>
    <w:rsid w:val="00530845"/>
    <w:rsid w:val="0053098F"/>
    <w:rsid w:val="00531183"/>
    <w:rsid w:val="00531A50"/>
    <w:rsid w:val="00532130"/>
    <w:rsid w:val="00532337"/>
    <w:rsid w:val="00532B81"/>
    <w:rsid w:val="00532FDA"/>
    <w:rsid w:val="00533FC3"/>
    <w:rsid w:val="00534799"/>
    <w:rsid w:val="005348F0"/>
    <w:rsid w:val="00534CB9"/>
    <w:rsid w:val="00535912"/>
    <w:rsid w:val="00535DAA"/>
    <w:rsid w:val="005365AB"/>
    <w:rsid w:val="00536B2E"/>
    <w:rsid w:val="00537097"/>
    <w:rsid w:val="0053713F"/>
    <w:rsid w:val="00537D5A"/>
    <w:rsid w:val="005405FD"/>
    <w:rsid w:val="00541743"/>
    <w:rsid w:val="00541FA1"/>
    <w:rsid w:val="00542534"/>
    <w:rsid w:val="00542C2F"/>
    <w:rsid w:val="005432C5"/>
    <w:rsid w:val="00545372"/>
    <w:rsid w:val="00545E1B"/>
    <w:rsid w:val="0054614C"/>
    <w:rsid w:val="00546D8E"/>
    <w:rsid w:val="00547D37"/>
    <w:rsid w:val="00550F33"/>
    <w:rsid w:val="00550FB5"/>
    <w:rsid w:val="0055154A"/>
    <w:rsid w:val="00551F5C"/>
    <w:rsid w:val="00552BF8"/>
    <w:rsid w:val="00552E33"/>
    <w:rsid w:val="00553738"/>
    <w:rsid w:val="00553981"/>
    <w:rsid w:val="00553B0E"/>
    <w:rsid w:val="00553B64"/>
    <w:rsid w:val="005542C6"/>
    <w:rsid w:val="00556166"/>
    <w:rsid w:val="005561DB"/>
    <w:rsid w:val="00556E68"/>
    <w:rsid w:val="005578C2"/>
    <w:rsid w:val="00557AED"/>
    <w:rsid w:val="0056056D"/>
    <w:rsid w:val="00560B6F"/>
    <w:rsid w:val="00560BFE"/>
    <w:rsid w:val="005610AA"/>
    <w:rsid w:val="00564054"/>
    <w:rsid w:val="0056419E"/>
    <w:rsid w:val="00564282"/>
    <w:rsid w:val="00565646"/>
    <w:rsid w:val="00566DEF"/>
    <w:rsid w:val="00567604"/>
    <w:rsid w:val="005679FE"/>
    <w:rsid w:val="0057025B"/>
    <w:rsid w:val="00571AE1"/>
    <w:rsid w:val="00571B81"/>
    <w:rsid w:val="00571D10"/>
    <w:rsid w:val="00572209"/>
    <w:rsid w:val="005725C1"/>
    <w:rsid w:val="00572DE9"/>
    <w:rsid w:val="00573D76"/>
    <w:rsid w:val="00574E48"/>
    <w:rsid w:val="005753D8"/>
    <w:rsid w:val="00575D81"/>
    <w:rsid w:val="00575F3D"/>
    <w:rsid w:val="00576693"/>
    <w:rsid w:val="005772DD"/>
    <w:rsid w:val="0057763E"/>
    <w:rsid w:val="00577796"/>
    <w:rsid w:val="0058032E"/>
    <w:rsid w:val="00580988"/>
    <w:rsid w:val="00581430"/>
    <w:rsid w:val="00581C48"/>
    <w:rsid w:val="0058227B"/>
    <w:rsid w:val="0058237D"/>
    <w:rsid w:val="0058330E"/>
    <w:rsid w:val="0058437F"/>
    <w:rsid w:val="005844BD"/>
    <w:rsid w:val="00584D02"/>
    <w:rsid w:val="00586010"/>
    <w:rsid w:val="00587840"/>
    <w:rsid w:val="005914B5"/>
    <w:rsid w:val="00591AE0"/>
    <w:rsid w:val="00591C48"/>
    <w:rsid w:val="00591E53"/>
    <w:rsid w:val="00591E87"/>
    <w:rsid w:val="00591FD5"/>
    <w:rsid w:val="00592267"/>
    <w:rsid w:val="0059281F"/>
    <w:rsid w:val="00592830"/>
    <w:rsid w:val="00593149"/>
    <w:rsid w:val="0059354B"/>
    <w:rsid w:val="00593573"/>
    <w:rsid w:val="00593FC9"/>
    <w:rsid w:val="0059421F"/>
    <w:rsid w:val="00594473"/>
    <w:rsid w:val="005946FB"/>
    <w:rsid w:val="00596252"/>
    <w:rsid w:val="0059699A"/>
    <w:rsid w:val="00596D0C"/>
    <w:rsid w:val="00596D19"/>
    <w:rsid w:val="005971BE"/>
    <w:rsid w:val="0059790F"/>
    <w:rsid w:val="00597B4A"/>
    <w:rsid w:val="00597D15"/>
    <w:rsid w:val="00597D8C"/>
    <w:rsid w:val="005A054E"/>
    <w:rsid w:val="005A09F5"/>
    <w:rsid w:val="005A0C98"/>
    <w:rsid w:val="005A136D"/>
    <w:rsid w:val="005A175B"/>
    <w:rsid w:val="005A3168"/>
    <w:rsid w:val="005A3AC3"/>
    <w:rsid w:val="005A3B73"/>
    <w:rsid w:val="005A5BB7"/>
    <w:rsid w:val="005A6B9D"/>
    <w:rsid w:val="005A6EBA"/>
    <w:rsid w:val="005A722C"/>
    <w:rsid w:val="005A732F"/>
    <w:rsid w:val="005A76F5"/>
    <w:rsid w:val="005A7F04"/>
    <w:rsid w:val="005A7F79"/>
    <w:rsid w:val="005B02A1"/>
    <w:rsid w:val="005B097F"/>
    <w:rsid w:val="005B0AE2"/>
    <w:rsid w:val="005B1D2A"/>
    <w:rsid w:val="005B1F2C"/>
    <w:rsid w:val="005B2A9C"/>
    <w:rsid w:val="005B2C46"/>
    <w:rsid w:val="005B361F"/>
    <w:rsid w:val="005B3D2E"/>
    <w:rsid w:val="005B3DB7"/>
    <w:rsid w:val="005B3F76"/>
    <w:rsid w:val="005B4628"/>
    <w:rsid w:val="005B4CAD"/>
    <w:rsid w:val="005B5F3C"/>
    <w:rsid w:val="005B5F8C"/>
    <w:rsid w:val="005B647E"/>
    <w:rsid w:val="005B64C1"/>
    <w:rsid w:val="005B7117"/>
    <w:rsid w:val="005B767F"/>
    <w:rsid w:val="005B7FC3"/>
    <w:rsid w:val="005C00BF"/>
    <w:rsid w:val="005C142B"/>
    <w:rsid w:val="005C2737"/>
    <w:rsid w:val="005C341A"/>
    <w:rsid w:val="005C43F6"/>
    <w:rsid w:val="005C4C3A"/>
    <w:rsid w:val="005C6A21"/>
    <w:rsid w:val="005C6A5D"/>
    <w:rsid w:val="005C6A89"/>
    <w:rsid w:val="005C6B4C"/>
    <w:rsid w:val="005C6F13"/>
    <w:rsid w:val="005C6F6D"/>
    <w:rsid w:val="005C7982"/>
    <w:rsid w:val="005D03D9"/>
    <w:rsid w:val="005D0776"/>
    <w:rsid w:val="005D1272"/>
    <w:rsid w:val="005D19B5"/>
    <w:rsid w:val="005D1EE8"/>
    <w:rsid w:val="005D1F6C"/>
    <w:rsid w:val="005D2F1E"/>
    <w:rsid w:val="005D34F1"/>
    <w:rsid w:val="005D3B12"/>
    <w:rsid w:val="005D56AE"/>
    <w:rsid w:val="005D666D"/>
    <w:rsid w:val="005E14CC"/>
    <w:rsid w:val="005E1732"/>
    <w:rsid w:val="005E1AC1"/>
    <w:rsid w:val="005E27C9"/>
    <w:rsid w:val="005E2BAD"/>
    <w:rsid w:val="005E3032"/>
    <w:rsid w:val="005E39AD"/>
    <w:rsid w:val="005E3A59"/>
    <w:rsid w:val="005E3BAC"/>
    <w:rsid w:val="005E3F62"/>
    <w:rsid w:val="005E456C"/>
    <w:rsid w:val="005E488E"/>
    <w:rsid w:val="005E4CB0"/>
    <w:rsid w:val="005E73C9"/>
    <w:rsid w:val="005E79AB"/>
    <w:rsid w:val="005F00FB"/>
    <w:rsid w:val="005F00FE"/>
    <w:rsid w:val="005F05D4"/>
    <w:rsid w:val="005F0C09"/>
    <w:rsid w:val="005F3B1E"/>
    <w:rsid w:val="005F4DD6"/>
    <w:rsid w:val="005F53A0"/>
    <w:rsid w:val="005F5DC9"/>
    <w:rsid w:val="005F62BB"/>
    <w:rsid w:val="005F65FD"/>
    <w:rsid w:val="005F6CAD"/>
    <w:rsid w:val="005F744C"/>
    <w:rsid w:val="005F77D7"/>
    <w:rsid w:val="005F7AEB"/>
    <w:rsid w:val="005F7EB0"/>
    <w:rsid w:val="006009BB"/>
    <w:rsid w:val="00600D24"/>
    <w:rsid w:val="00601AC3"/>
    <w:rsid w:val="006021E5"/>
    <w:rsid w:val="00602332"/>
    <w:rsid w:val="006027FE"/>
    <w:rsid w:val="00602869"/>
    <w:rsid w:val="006034E9"/>
    <w:rsid w:val="0060351B"/>
    <w:rsid w:val="00603C79"/>
    <w:rsid w:val="00603E0B"/>
    <w:rsid w:val="00604802"/>
    <w:rsid w:val="00604EB3"/>
    <w:rsid w:val="0060585A"/>
    <w:rsid w:val="00606BFF"/>
    <w:rsid w:val="00606FF0"/>
    <w:rsid w:val="00610DF0"/>
    <w:rsid w:val="00611111"/>
    <w:rsid w:val="00612005"/>
    <w:rsid w:val="00612BC6"/>
    <w:rsid w:val="00612DC7"/>
    <w:rsid w:val="00613140"/>
    <w:rsid w:val="00613A7D"/>
    <w:rsid w:val="00614248"/>
    <w:rsid w:val="00615182"/>
    <w:rsid w:val="00615733"/>
    <w:rsid w:val="00615AB0"/>
    <w:rsid w:val="00615F7F"/>
    <w:rsid w:val="006163FA"/>
    <w:rsid w:val="006164C7"/>
    <w:rsid w:val="006167E9"/>
    <w:rsid w:val="0061778C"/>
    <w:rsid w:val="006217BC"/>
    <w:rsid w:val="00621B0A"/>
    <w:rsid w:val="006220A7"/>
    <w:rsid w:val="00622FE9"/>
    <w:rsid w:val="0062350C"/>
    <w:rsid w:val="00624EA3"/>
    <w:rsid w:val="006253EB"/>
    <w:rsid w:val="00625490"/>
    <w:rsid w:val="00625B46"/>
    <w:rsid w:val="00625EF2"/>
    <w:rsid w:val="00626016"/>
    <w:rsid w:val="0062625B"/>
    <w:rsid w:val="00626463"/>
    <w:rsid w:val="00626E22"/>
    <w:rsid w:val="0062760B"/>
    <w:rsid w:val="00630917"/>
    <w:rsid w:val="00630D27"/>
    <w:rsid w:val="00630F39"/>
    <w:rsid w:val="0063164E"/>
    <w:rsid w:val="00631863"/>
    <w:rsid w:val="00631E41"/>
    <w:rsid w:val="0063243E"/>
    <w:rsid w:val="00632D8A"/>
    <w:rsid w:val="00632EDD"/>
    <w:rsid w:val="006330D5"/>
    <w:rsid w:val="006336C8"/>
    <w:rsid w:val="006337F9"/>
    <w:rsid w:val="006343E0"/>
    <w:rsid w:val="00635247"/>
    <w:rsid w:val="00635568"/>
    <w:rsid w:val="006357CA"/>
    <w:rsid w:val="006363EB"/>
    <w:rsid w:val="00636839"/>
    <w:rsid w:val="00636B90"/>
    <w:rsid w:val="006405E3"/>
    <w:rsid w:val="00641044"/>
    <w:rsid w:val="00641056"/>
    <w:rsid w:val="006413D1"/>
    <w:rsid w:val="00642138"/>
    <w:rsid w:val="006422DC"/>
    <w:rsid w:val="00642744"/>
    <w:rsid w:val="00642A19"/>
    <w:rsid w:val="00642D0D"/>
    <w:rsid w:val="006446BD"/>
    <w:rsid w:val="0064472C"/>
    <w:rsid w:val="00645658"/>
    <w:rsid w:val="006459FC"/>
    <w:rsid w:val="006460F4"/>
    <w:rsid w:val="0064738B"/>
    <w:rsid w:val="00647C2F"/>
    <w:rsid w:val="006508EA"/>
    <w:rsid w:val="00650A57"/>
    <w:rsid w:val="0065172B"/>
    <w:rsid w:val="00651E78"/>
    <w:rsid w:val="00652CAB"/>
    <w:rsid w:val="00653DA8"/>
    <w:rsid w:val="0065563D"/>
    <w:rsid w:val="006556EE"/>
    <w:rsid w:val="0065594E"/>
    <w:rsid w:val="00655AFE"/>
    <w:rsid w:val="00655DD6"/>
    <w:rsid w:val="00657166"/>
    <w:rsid w:val="006572F1"/>
    <w:rsid w:val="00657650"/>
    <w:rsid w:val="00661927"/>
    <w:rsid w:val="006628AD"/>
    <w:rsid w:val="00662F26"/>
    <w:rsid w:val="006632B9"/>
    <w:rsid w:val="00663850"/>
    <w:rsid w:val="00663E33"/>
    <w:rsid w:val="006671E5"/>
    <w:rsid w:val="0066734B"/>
    <w:rsid w:val="00667E86"/>
    <w:rsid w:val="00671467"/>
    <w:rsid w:val="006724C6"/>
    <w:rsid w:val="006741F5"/>
    <w:rsid w:val="006748F3"/>
    <w:rsid w:val="00674DAB"/>
    <w:rsid w:val="006756C9"/>
    <w:rsid w:val="00675E0A"/>
    <w:rsid w:val="00676004"/>
    <w:rsid w:val="006767C9"/>
    <w:rsid w:val="00676A74"/>
    <w:rsid w:val="00676BBC"/>
    <w:rsid w:val="00677684"/>
    <w:rsid w:val="006805B4"/>
    <w:rsid w:val="00680B20"/>
    <w:rsid w:val="00681577"/>
    <w:rsid w:val="00681EB8"/>
    <w:rsid w:val="006820FB"/>
    <w:rsid w:val="0068379F"/>
    <w:rsid w:val="0068392D"/>
    <w:rsid w:val="00683969"/>
    <w:rsid w:val="00684337"/>
    <w:rsid w:val="006854B9"/>
    <w:rsid w:val="006856D8"/>
    <w:rsid w:val="00685AAB"/>
    <w:rsid w:val="00686515"/>
    <w:rsid w:val="006909A8"/>
    <w:rsid w:val="00690A52"/>
    <w:rsid w:val="006919AF"/>
    <w:rsid w:val="00692CA8"/>
    <w:rsid w:val="006943BF"/>
    <w:rsid w:val="00694F7D"/>
    <w:rsid w:val="006950AA"/>
    <w:rsid w:val="00695265"/>
    <w:rsid w:val="00695927"/>
    <w:rsid w:val="00695A3F"/>
    <w:rsid w:val="00697DB5"/>
    <w:rsid w:val="00697E65"/>
    <w:rsid w:val="006A023C"/>
    <w:rsid w:val="006A0741"/>
    <w:rsid w:val="006A1828"/>
    <w:rsid w:val="006A1B33"/>
    <w:rsid w:val="006A33B8"/>
    <w:rsid w:val="006A34A5"/>
    <w:rsid w:val="006A492A"/>
    <w:rsid w:val="006A4DC1"/>
    <w:rsid w:val="006A4F06"/>
    <w:rsid w:val="006A5DB7"/>
    <w:rsid w:val="006A5E8D"/>
    <w:rsid w:val="006A6090"/>
    <w:rsid w:val="006A6665"/>
    <w:rsid w:val="006A6E89"/>
    <w:rsid w:val="006A713C"/>
    <w:rsid w:val="006A7627"/>
    <w:rsid w:val="006B04B1"/>
    <w:rsid w:val="006B11D5"/>
    <w:rsid w:val="006B13B5"/>
    <w:rsid w:val="006B1948"/>
    <w:rsid w:val="006B1B51"/>
    <w:rsid w:val="006B26C9"/>
    <w:rsid w:val="006B2CEC"/>
    <w:rsid w:val="006B3514"/>
    <w:rsid w:val="006B4F95"/>
    <w:rsid w:val="006B57C4"/>
    <w:rsid w:val="006B5B41"/>
    <w:rsid w:val="006B5C72"/>
    <w:rsid w:val="006B6947"/>
    <w:rsid w:val="006B6E06"/>
    <w:rsid w:val="006B748A"/>
    <w:rsid w:val="006B7CCE"/>
    <w:rsid w:val="006C015F"/>
    <w:rsid w:val="006C127F"/>
    <w:rsid w:val="006C1924"/>
    <w:rsid w:val="006C19E3"/>
    <w:rsid w:val="006C1A14"/>
    <w:rsid w:val="006C239A"/>
    <w:rsid w:val="006C23BF"/>
    <w:rsid w:val="006C2D01"/>
    <w:rsid w:val="006C3D2E"/>
    <w:rsid w:val="006C4728"/>
    <w:rsid w:val="006C5AD6"/>
    <w:rsid w:val="006C7AC5"/>
    <w:rsid w:val="006D0310"/>
    <w:rsid w:val="006D0B01"/>
    <w:rsid w:val="006D0E80"/>
    <w:rsid w:val="006D2009"/>
    <w:rsid w:val="006D2151"/>
    <w:rsid w:val="006D2732"/>
    <w:rsid w:val="006D281F"/>
    <w:rsid w:val="006D2C67"/>
    <w:rsid w:val="006D331F"/>
    <w:rsid w:val="006D336C"/>
    <w:rsid w:val="006D3757"/>
    <w:rsid w:val="006D417C"/>
    <w:rsid w:val="006D50BA"/>
    <w:rsid w:val="006D541C"/>
    <w:rsid w:val="006D5576"/>
    <w:rsid w:val="006D5726"/>
    <w:rsid w:val="006D5B2C"/>
    <w:rsid w:val="006D5D57"/>
    <w:rsid w:val="006D61DF"/>
    <w:rsid w:val="006D69CE"/>
    <w:rsid w:val="006D6B0F"/>
    <w:rsid w:val="006D6D37"/>
    <w:rsid w:val="006D6D80"/>
    <w:rsid w:val="006D6FA6"/>
    <w:rsid w:val="006D705E"/>
    <w:rsid w:val="006E16CB"/>
    <w:rsid w:val="006E1CD5"/>
    <w:rsid w:val="006E1E2E"/>
    <w:rsid w:val="006E3900"/>
    <w:rsid w:val="006E3C71"/>
    <w:rsid w:val="006E4632"/>
    <w:rsid w:val="006E4E96"/>
    <w:rsid w:val="006E500B"/>
    <w:rsid w:val="006E5094"/>
    <w:rsid w:val="006E6EA2"/>
    <w:rsid w:val="006E70D1"/>
    <w:rsid w:val="006E71BF"/>
    <w:rsid w:val="006E7515"/>
    <w:rsid w:val="006E766D"/>
    <w:rsid w:val="006E7E3E"/>
    <w:rsid w:val="006F06A6"/>
    <w:rsid w:val="006F0F78"/>
    <w:rsid w:val="006F0FED"/>
    <w:rsid w:val="006F1871"/>
    <w:rsid w:val="006F2A75"/>
    <w:rsid w:val="006F2ACB"/>
    <w:rsid w:val="006F4B29"/>
    <w:rsid w:val="006F53E1"/>
    <w:rsid w:val="006F58A7"/>
    <w:rsid w:val="006F6CE9"/>
    <w:rsid w:val="006F75FC"/>
    <w:rsid w:val="006F7D08"/>
    <w:rsid w:val="006F7EA3"/>
    <w:rsid w:val="0070189D"/>
    <w:rsid w:val="0070273A"/>
    <w:rsid w:val="00702A99"/>
    <w:rsid w:val="007033D7"/>
    <w:rsid w:val="00703472"/>
    <w:rsid w:val="00704B92"/>
    <w:rsid w:val="0070517C"/>
    <w:rsid w:val="00705C9F"/>
    <w:rsid w:val="00706026"/>
    <w:rsid w:val="00706803"/>
    <w:rsid w:val="00706986"/>
    <w:rsid w:val="00707CB2"/>
    <w:rsid w:val="00707CE4"/>
    <w:rsid w:val="0071127B"/>
    <w:rsid w:val="00711762"/>
    <w:rsid w:val="00712633"/>
    <w:rsid w:val="00712CA3"/>
    <w:rsid w:val="007133E7"/>
    <w:rsid w:val="00713A64"/>
    <w:rsid w:val="007160FD"/>
    <w:rsid w:val="007163A1"/>
    <w:rsid w:val="00716951"/>
    <w:rsid w:val="0071777A"/>
    <w:rsid w:val="00720F6B"/>
    <w:rsid w:val="007215B0"/>
    <w:rsid w:val="00722389"/>
    <w:rsid w:val="007232ED"/>
    <w:rsid w:val="00723D6B"/>
    <w:rsid w:val="00724FAF"/>
    <w:rsid w:val="007252F8"/>
    <w:rsid w:val="00726F0B"/>
    <w:rsid w:val="00727FB0"/>
    <w:rsid w:val="00730ADA"/>
    <w:rsid w:val="00730FB5"/>
    <w:rsid w:val="00732A05"/>
    <w:rsid w:val="00732E4D"/>
    <w:rsid w:val="00732EB0"/>
    <w:rsid w:val="00733387"/>
    <w:rsid w:val="0073355F"/>
    <w:rsid w:val="007342BB"/>
    <w:rsid w:val="00734322"/>
    <w:rsid w:val="00734644"/>
    <w:rsid w:val="00735738"/>
    <w:rsid w:val="00735D9E"/>
    <w:rsid w:val="0073622A"/>
    <w:rsid w:val="007366D3"/>
    <w:rsid w:val="007369A3"/>
    <w:rsid w:val="0073754A"/>
    <w:rsid w:val="00737AD0"/>
    <w:rsid w:val="00737B55"/>
    <w:rsid w:val="00740118"/>
    <w:rsid w:val="007402D7"/>
    <w:rsid w:val="00742A58"/>
    <w:rsid w:val="00742AF5"/>
    <w:rsid w:val="00742CA7"/>
    <w:rsid w:val="0074502D"/>
    <w:rsid w:val="00745310"/>
    <w:rsid w:val="00745397"/>
    <w:rsid w:val="007455FD"/>
    <w:rsid w:val="00745A09"/>
    <w:rsid w:val="00746EB1"/>
    <w:rsid w:val="00750AFE"/>
    <w:rsid w:val="0075141C"/>
    <w:rsid w:val="00751760"/>
    <w:rsid w:val="00751940"/>
    <w:rsid w:val="00751EAF"/>
    <w:rsid w:val="007527A0"/>
    <w:rsid w:val="00752CEE"/>
    <w:rsid w:val="00753034"/>
    <w:rsid w:val="0075344B"/>
    <w:rsid w:val="00753CF3"/>
    <w:rsid w:val="00754CF7"/>
    <w:rsid w:val="007553B5"/>
    <w:rsid w:val="00756226"/>
    <w:rsid w:val="0075678D"/>
    <w:rsid w:val="00756AB1"/>
    <w:rsid w:val="007574A8"/>
    <w:rsid w:val="00757B0D"/>
    <w:rsid w:val="007600A4"/>
    <w:rsid w:val="00760BFD"/>
    <w:rsid w:val="00760CBB"/>
    <w:rsid w:val="00760EA6"/>
    <w:rsid w:val="00761320"/>
    <w:rsid w:val="007615B2"/>
    <w:rsid w:val="007627BE"/>
    <w:rsid w:val="007639AB"/>
    <w:rsid w:val="00763AF5"/>
    <w:rsid w:val="0076454A"/>
    <w:rsid w:val="00764DE6"/>
    <w:rsid w:val="00764F1E"/>
    <w:rsid w:val="007651B1"/>
    <w:rsid w:val="007664F5"/>
    <w:rsid w:val="00767703"/>
    <w:rsid w:val="00767A33"/>
    <w:rsid w:val="00767CE1"/>
    <w:rsid w:val="00767D6E"/>
    <w:rsid w:val="007707B9"/>
    <w:rsid w:val="00770D7D"/>
    <w:rsid w:val="007718D2"/>
    <w:rsid w:val="00771A68"/>
    <w:rsid w:val="00772D54"/>
    <w:rsid w:val="00772FB4"/>
    <w:rsid w:val="00773145"/>
    <w:rsid w:val="0077352D"/>
    <w:rsid w:val="007743F7"/>
    <w:rsid w:val="007744D2"/>
    <w:rsid w:val="00774B31"/>
    <w:rsid w:val="00774C9F"/>
    <w:rsid w:val="00775E8B"/>
    <w:rsid w:val="007764FF"/>
    <w:rsid w:val="00776906"/>
    <w:rsid w:val="00776EC2"/>
    <w:rsid w:val="00776FB6"/>
    <w:rsid w:val="007774D7"/>
    <w:rsid w:val="007808CA"/>
    <w:rsid w:val="00780EA8"/>
    <w:rsid w:val="00781CF8"/>
    <w:rsid w:val="007830AE"/>
    <w:rsid w:val="00783473"/>
    <w:rsid w:val="00783DAC"/>
    <w:rsid w:val="00784AD6"/>
    <w:rsid w:val="007857F2"/>
    <w:rsid w:val="007859F6"/>
    <w:rsid w:val="00786136"/>
    <w:rsid w:val="0078724D"/>
    <w:rsid w:val="007902DA"/>
    <w:rsid w:val="00790830"/>
    <w:rsid w:val="0079084E"/>
    <w:rsid w:val="00790E8F"/>
    <w:rsid w:val="00791733"/>
    <w:rsid w:val="007921B1"/>
    <w:rsid w:val="00792A70"/>
    <w:rsid w:val="00793066"/>
    <w:rsid w:val="007941EF"/>
    <w:rsid w:val="00794844"/>
    <w:rsid w:val="00795010"/>
    <w:rsid w:val="0079619B"/>
    <w:rsid w:val="00796257"/>
    <w:rsid w:val="007965AE"/>
    <w:rsid w:val="00797E41"/>
    <w:rsid w:val="00797F1E"/>
    <w:rsid w:val="007A0094"/>
    <w:rsid w:val="007A023E"/>
    <w:rsid w:val="007A064B"/>
    <w:rsid w:val="007A0B74"/>
    <w:rsid w:val="007A0FC6"/>
    <w:rsid w:val="007A1C1F"/>
    <w:rsid w:val="007A2899"/>
    <w:rsid w:val="007A353E"/>
    <w:rsid w:val="007A3A2C"/>
    <w:rsid w:val="007A3C0F"/>
    <w:rsid w:val="007A5CCB"/>
    <w:rsid w:val="007A5D22"/>
    <w:rsid w:val="007A667B"/>
    <w:rsid w:val="007A68CD"/>
    <w:rsid w:val="007A7C11"/>
    <w:rsid w:val="007A7C42"/>
    <w:rsid w:val="007B05CF"/>
    <w:rsid w:val="007B085E"/>
    <w:rsid w:val="007B1534"/>
    <w:rsid w:val="007B157A"/>
    <w:rsid w:val="007B1B34"/>
    <w:rsid w:val="007B1D93"/>
    <w:rsid w:val="007B3FFF"/>
    <w:rsid w:val="007B5FC8"/>
    <w:rsid w:val="007B66A5"/>
    <w:rsid w:val="007B680A"/>
    <w:rsid w:val="007B7A86"/>
    <w:rsid w:val="007C0099"/>
    <w:rsid w:val="007C088C"/>
    <w:rsid w:val="007C19A7"/>
    <w:rsid w:val="007C212A"/>
    <w:rsid w:val="007C2FE9"/>
    <w:rsid w:val="007C30EA"/>
    <w:rsid w:val="007C50CA"/>
    <w:rsid w:val="007C60D3"/>
    <w:rsid w:val="007C6685"/>
    <w:rsid w:val="007C6721"/>
    <w:rsid w:val="007C7075"/>
    <w:rsid w:val="007D1024"/>
    <w:rsid w:val="007D1BBC"/>
    <w:rsid w:val="007D2167"/>
    <w:rsid w:val="007D2176"/>
    <w:rsid w:val="007D24BC"/>
    <w:rsid w:val="007D2AE5"/>
    <w:rsid w:val="007D2E24"/>
    <w:rsid w:val="007D3B6A"/>
    <w:rsid w:val="007D3F7C"/>
    <w:rsid w:val="007D4E80"/>
    <w:rsid w:val="007D50FD"/>
    <w:rsid w:val="007D5746"/>
    <w:rsid w:val="007D6039"/>
    <w:rsid w:val="007D7294"/>
    <w:rsid w:val="007D7674"/>
    <w:rsid w:val="007D7B0F"/>
    <w:rsid w:val="007E0066"/>
    <w:rsid w:val="007E02B7"/>
    <w:rsid w:val="007E03AC"/>
    <w:rsid w:val="007E0CD0"/>
    <w:rsid w:val="007E0F3F"/>
    <w:rsid w:val="007E1684"/>
    <w:rsid w:val="007E18FA"/>
    <w:rsid w:val="007E199B"/>
    <w:rsid w:val="007E2187"/>
    <w:rsid w:val="007E21B7"/>
    <w:rsid w:val="007E26D6"/>
    <w:rsid w:val="007E27E2"/>
    <w:rsid w:val="007E3046"/>
    <w:rsid w:val="007E321A"/>
    <w:rsid w:val="007E4429"/>
    <w:rsid w:val="007E4A6E"/>
    <w:rsid w:val="007E4A8C"/>
    <w:rsid w:val="007E571B"/>
    <w:rsid w:val="007E684F"/>
    <w:rsid w:val="007E7D21"/>
    <w:rsid w:val="007F0CC6"/>
    <w:rsid w:val="007F0F22"/>
    <w:rsid w:val="007F1C4B"/>
    <w:rsid w:val="007F1F8E"/>
    <w:rsid w:val="007F2302"/>
    <w:rsid w:val="007F244D"/>
    <w:rsid w:val="007F2D2A"/>
    <w:rsid w:val="007F2E23"/>
    <w:rsid w:val="007F3580"/>
    <w:rsid w:val="007F482F"/>
    <w:rsid w:val="007F518A"/>
    <w:rsid w:val="007F74EC"/>
    <w:rsid w:val="007F76E3"/>
    <w:rsid w:val="007F7A6D"/>
    <w:rsid w:val="007F7C94"/>
    <w:rsid w:val="00800090"/>
    <w:rsid w:val="00800234"/>
    <w:rsid w:val="00800439"/>
    <w:rsid w:val="00800833"/>
    <w:rsid w:val="00800851"/>
    <w:rsid w:val="00801831"/>
    <w:rsid w:val="0080225C"/>
    <w:rsid w:val="00802E49"/>
    <w:rsid w:val="0080305D"/>
    <w:rsid w:val="0080398D"/>
    <w:rsid w:val="0080444D"/>
    <w:rsid w:val="0080612C"/>
    <w:rsid w:val="00806385"/>
    <w:rsid w:val="0080682C"/>
    <w:rsid w:val="00806BCA"/>
    <w:rsid w:val="00806D40"/>
    <w:rsid w:val="00806E22"/>
    <w:rsid w:val="00806F3A"/>
    <w:rsid w:val="00807860"/>
    <w:rsid w:val="00807CC5"/>
    <w:rsid w:val="00807ED7"/>
    <w:rsid w:val="00811022"/>
    <w:rsid w:val="00812F70"/>
    <w:rsid w:val="0081414C"/>
    <w:rsid w:val="00814354"/>
    <w:rsid w:val="00814CC6"/>
    <w:rsid w:val="00815089"/>
    <w:rsid w:val="008159CA"/>
    <w:rsid w:val="008165AD"/>
    <w:rsid w:val="00816DEE"/>
    <w:rsid w:val="0081751C"/>
    <w:rsid w:val="0082114A"/>
    <w:rsid w:val="0082127C"/>
    <w:rsid w:val="008215FD"/>
    <w:rsid w:val="008228D1"/>
    <w:rsid w:val="0082296E"/>
    <w:rsid w:val="00822986"/>
    <w:rsid w:val="00823A28"/>
    <w:rsid w:val="00823EC6"/>
    <w:rsid w:val="0082414E"/>
    <w:rsid w:val="00824532"/>
    <w:rsid w:val="00824B7C"/>
    <w:rsid w:val="0082561B"/>
    <w:rsid w:val="00825D29"/>
    <w:rsid w:val="00825D40"/>
    <w:rsid w:val="0082631B"/>
    <w:rsid w:val="00826798"/>
    <w:rsid w:val="00831751"/>
    <w:rsid w:val="008319D1"/>
    <w:rsid w:val="00831A50"/>
    <w:rsid w:val="00832247"/>
    <w:rsid w:val="008331A3"/>
    <w:rsid w:val="00833369"/>
    <w:rsid w:val="00833804"/>
    <w:rsid w:val="00833F64"/>
    <w:rsid w:val="008344D2"/>
    <w:rsid w:val="0083462F"/>
    <w:rsid w:val="008349FA"/>
    <w:rsid w:val="00835B42"/>
    <w:rsid w:val="0083619D"/>
    <w:rsid w:val="0083630D"/>
    <w:rsid w:val="008369A2"/>
    <w:rsid w:val="00837118"/>
    <w:rsid w:val="0083799E"/>
    <w:rsid w:val="0084086E"/>
    <w:rsid w:val="008410C9"/>
    <w:rsid w:val="00841F0D"/>
    <w:rsid w:val="00842A4E"/>
    <w:rsid w:val="00842B10"/>
    <w:rsid w:val="00843EC7"/>
    <w:rsid w:val="00844513"/>
    <w:rsid w:val="008447A3"/>
    <w:rsid w:val="008450F5"/>
    <w:rsid w:val="00846295"/>
    <w:rsid w:val="00846C64"/>
    <w:rsid w:val="00847D99"/>
    <w:rsid w:val="0085038E"/>
    <w:rsid w:val="008505DA"/>
    <w:rsid w:val="00850663"/>
    <w:rsid w:val="00850D8D"/>
    <w:rsid w:val="008510A2"/>
    <w:rsid w:val="00851E12"/>
    <w:rsid w:val="0085286F"/>
    <w:rsid w:val="00853299"/>
    <w:rsid w:val="00853422"/>
    <w:rsid w:val="00854015"/>
    <w:rsid w:val="008544F1"/>
    <w:rsid w:val="0085453D"/>
    <w:rsid w:val="00854C80"/>
    <w:rsid w:val="00854D71"/>
    <w:rsid w:val="00855362"/>
    <w:rsid w:val="00855F2B"/>
    <w:rsid w:val="0085718D"/>
    <w:rsid w:val="00857462"/>
    <w:rsid w:val="00860951"/>
    <w:rsid w:val="00860AE7"/>
    <w:rsid w:val="00860F1C"/>
    <w:rsid w:val="0086118C"/>
    <w:rsid w:val="008614F0"/>
    <w:rsid w:val="0086271D"/>
    <w:rsid w:val="00863E3C"/>
    <w:rsid w:val="00863E5B"/>
    <w:rsid w:val="008641AE"/>
    <w:rsid w:val="008641F9"/>
    <w:rsid w:val="0086420B"/>
    <w:rsid w:val="00864838"/>
    <w:rsid w:val="00864A73"/>
    <w:rsid w:val="00864DBF"/>
    <w:rsid w:val="00865AE2"/>
    <w:rsid w:val="008663C8"/>
    <w:rsid w:val="00866714"/>
    <w:rsid w:val="00866F46"/>
    <w:rsid w:val="00867327"/>
    <w:rsid w:val="0087074B"/>
    <w:rsid w:val="0087080D"/>
    <w:rsid w:val="00871538"/>
    <w:rsid w:val="00871E4E"/>
    <w:rsid w:val="00872129"/>
    <w:rsid w:val="0087223C"/>
    <w:rsid w:val="00872443"/>
    <w:rsid w:val="00872ED0"/>
    <w:rsid w:val="0087300B"/>
    <w:rsid w:val="00873734"/>
    <w:rsid w:val="00873F58"/>
    <w:rsid w:val="00874302"/>
    <w:rsid w:val="00874E9E"/>
    <w:rsid w:val="00874EF9"/>
    <w:rsid w:val="00876C1E"/>
    <w:rsid w:val="008771A1"/>
    <w:rsid w:val="00877F83"/>
    <w:rsid w:val="00880044"/>
    <w:rsid w:val="008809CA"/>
    <w:rsid w:val="00880C4F"/>
    <w:rsid w:val="00881523"/>
    <w:rsid w:val="00881CBB"/>
    <w:rsid w:val="008825E0"/>
    <w:rsid w:val="00883524"/>
    <w:rsid w:val="00883EB2"/>
    <w:rsid w:val="0088476C"/>
    <w:rsid w:val="008847CB"/>
    <w:rsid w:val="00884A43"/>
    <w:rsid w:val="00884FD5"/>
    <w:rsid w:val="0088500B"/>
    <w:rsid w:val="00885F3C"/>
    <w:rsid w:val="00887152"/>
    <w:rsid w:val="00887916"/>
    <w:rsid w:val="00887D4F"/>
    <w:rsid w:val="008901AD"/>
    <w:rsid w:val="00890539"/>
    <w:rsid w:val="00892ADB"/>
    <w:rsid w:val="00892CE3"/>
    <w:rsid w:val="00893891"/>
    <w:rsid w:val="00893C30"/>
    <w:rsid w:val="00893F01"/>
    <w:rsid w:val="0089406E"/>
    <w:rsid w:val="00895401"/>
    <w:rsid w:val="0089564B"/>
    <w:rsid w:val="0089601F"/>
    <w:rsid w:val="0089662E"/>
    <w:rsid w:val="00896BA7"/>
    <w:rsid w:val="00896D74"/>
    <w:rsid w:val="00896FFB"/>
    <w:rsid w:val="00897209"/>
    <w:rsid w:val="008976F2"/>
    <w:rsid w:val="008A1626"/>
    <w:rsid w:val="008A1ADD"/>
    <w:rsid w:val="008A1F06"/>
    <w:rsid w:val="008A270C"/>
    <w:rsid w:val="008A3742"/>
    <w:rsid w:val="008A7313"/>
    <w:rsid w:val="008A7323"/>
    <w:rsid w:val="008A7D91"/>
    <w:rsid w:val="008B0B48"/>
    <w:rsid w:val="008B1162"/>
    <w:rsid w:val="008B12BE"/>
    <w:rsid w:val="008B1465"/>
    <w:rsid w:val="008B166E"/>
    <w:rsid w:val="008B171A"/>
    <w:rsid w:val="008B195C"/>
    <w:rsid w:val="008B19DB"/>
    <w:rsid w:val="008B2085"/>
    <w:rsid w:val="008B26B7"/>
    <w:rsid w:val="008B4ACD"/>
    <w:rsid w:val="008B5096"/>
    <w:rsid w:val="008B577D"/>
    <w:rsid w:val="008B6FF5"/>
    <w:rsid w:val="008B7C2F"/>
    <w:rsid w:val="008B7FC7"/>
    <w:rsid w:val="008C022A"/>
    <w:rsid w:val="008C1361"/>
    <w:rsid w:val="008C16D5"/>
    <w:rsid w:val="008C1A62"/>
    <w:rsid w:val="008C1D45"/>
    <w:rsid w:val="008C28D3"/>
    <w:rsid w:val="008C2CFE"/>
    <w:rsid w:val="008C3385"/>
    <w:rsid w:val="008C341B"/>
    <w:rsid w:val="008C3F59"/>
    <w:rsid w:val="008C4337"/>
    <w:rsid w:val="008C449A"/>
    <w:rsid w:val="008C474F"/>
    <w:rsid w:val="008C4F06"/>
    <w:rsid w:val="008C54DD"/>
    <w:rsid w:val="008C5694"/>
    <w:rsid w:val="008C598C"/>
    <w:rsid w:val="008C59C2"/>
    <w:rsid w:val="008C634E"/>
    <w:rsid w:val="008C6AA7"/>
    <w:rsid w:val="008C6B83"/>
    <w:rsid w:val="008C6F91"/>
    <w:rsid w:val="008D0160"/>
    <w:rsid w:val="008D023F"/>
    <w:rsid w:val="008D0CB7"/>
    <w:rsid w:val="008D0DC6"/>
    <w:rsid w:val="008D132E"/>
    <w:rsid w:val="008D1A08"/>
    <w:rsid w:val="008D2491"/>
    <w:rsid w:val="008D2BD5"/>
    <w:rsid w:val="008D3520"/>
    <w:rsid w:val="008D3DFB"/>
    <w:rsid w:val="008D47DF"/>
    <w:rsid w:val="008D5674"/>
    <w:rsid w:val="008D6C32"/>
    <w:rsid w:val="008D716B"/>
    <w:rsid w:val="008D739B"/>
    <w:rsid w:val="008D7975"/>
    <w:rsid w:val="008E1DE4"/>
    <w:rsid w:val="008E1E4A"/>
    <w:rsid w:val="008E2D2F"/>
    <w:rsid w:val="008E37E1"/>
    <w:rsid w:val="008E3C00"/>
    <w:rsid w:val="008E453E"/>
    <w:rsid w:val="008E4D39"/>
    <w:rsid w:val="008E55EC"/>
    <w:rsid w:val="008E60D1"/>
    <w:rsid w:val="008E636C"/>
    <w:rsid w:val="008E7C81"/>
    <w:rsid w:val="008F0313"/>
    <w:rsid w:val="008F03DB"/>
    <w:rsid w:val="008F0615"/>
    <w:rsid w:val="008F0AB7"/>
    <w:rsid w:val="008F103E"/>
    <w:rsid w:val="008F1445"/>
    <w:rsid w:val="008F15F0"/>
    <w:rsid w:val="008F1FDB"/>
    <w:rsid w:val="008F204A"/>
    <w:rsid w:val="008F2E37"/>
    <w:rsid w:val="008F2ED9"/>
    <w:rsid w:val="008F33C0"/>
    <w:rsid w:val="008F36FB"/>
    <w:rsid w:val="008F37E7"/>
    <w:rsid w:val="008F3DA6"/>
    <w:rsid w:val="008F6609"/>
    <w:rsid w:val="008F772B"/>
    <w:rsid w:val="008F7A6C"/>
    <w:rsid w:val="00900AA8"/>
    <w:rsid w:val="00900BF1"/>
    <w:rsid w:val="009011A1"/>
    <w:rsid w:val="00902006"/>
    <w:rsid w:val="009027D3"/>
    <w:rsid w:val="00902A18"/>
    <w:rsid w:val="00902EA9"/>
    <w:rsid w:val="009030D8"/>
    <w:rsid w:val="00903AF8"/>
    <w:rsid w:val="00903CD1"/>
    <w:rsid w:val="00903F22"/>
    <w:rsid w:val="00903FE6"/>
    <w:rsid w:val="009040F4"/>
    <w:rsid w:val="0090427F"/>
    <w:rsid w:val="009047F1"/>
    <w:rsid w:val="00904EAD"/>
    <w:rsid w:val="00905A87"/>
    <w:rsid w:val="009063B9"/>
    <w:rsid w:val="00906F87"/>
    <w:rsid w:val="00907909"/>
    <w:rsid w:val="00910CF0"/>
    <w:rsid w:val="00910DBC"/>
    <w:rsid w:val="00910F70"/>
    <w:rsid w:val="00911D34"/>
    <w:rsid w:val="009120DC"/>
    <w:rsid w:val="00913AA3"/>
    <w:rsid w:val="00913EA4"/>
    <w:rsid w:val="00913EFB"/>
    <w:rsid w:val="009141A9"/>
    <w:rsid w:val="009147A9"/>
    <w:rsid w:val="00914D6F"/>
    <w:rsid w:val="00915AF1"/>
    <w:rsid w:val="00915BE1"/>
    <w:rsid w:val="00916AE2"/>
    <w:rsid w:val="00916BF8"/>
    <w:rsid w:val="0091709D"/>
    <w:rsid w:val="009174BC"/>
    <w:rsid w:val="00917618"/>
    <w:rsid w:val="00920506"/>
    <w:rsid w:val="00921BE2"/>
    <w:rsid w:val="0092215E"/>
    <w:rsid w:val="009232F7"/>
    <w:rsid w:val="009238A9"/>
    <w:rsid w:val="00923AB6"/>
    <w:rsid w:val="0092427C"/>
    <w:rsid w:val="00924CCA"/>
    <w:rsid w:val="00925344"/>
    <w:rsid w:val="009256E4"/>
    <w:rsid w:val="00926EF1"/>
    <w:rsid w:val="009275BE"/>
    <w:rsid w:val="009279AB"/>
    <w:rsid w:val="00931532"/>
    <w:rsid w:val="00931B3A"/>
    <w:rsid w:val="00931CDF"/>
    <w:rsid w:val="00931DEB"/>
    <w:rsid w:val="009321B7"/>
    <w:rsid w:val="00933957"/>
    <w:rsid w:val="00933BBF"/>
    <w:rsid w:val="00933E21"/>
    <w:rsid w:val="00935C51"/>
    <w:rsid w:val="0093731F"/>
    <w:rsid w:val="009379E5"/>
    <w:rsid w:val="00937AA2"/>
    <w:rsid w:val="00940406"/>
    <w:rsid w:val="009406FF"/>
    <w:rsid w:val="0094090E"/>
    <w:rsid w:val="00940EBA"/>
    <w:rsid w:val="00941130"/>
    <w:rsid w:val="009414C7"/>
    <w:rsid w:val="009425B9"/>
    <w:rsid w:val="00942EF8"/>
    <w:rsid w:val="00943798"/>
    <w:rsid w:val="0094478A"/>
    <w:rsid w:val="00944966"/>
    <w:rsid w:val="00944D51"/>
    <w:rsid w:val="00945067"/>
    <w:rsid w:val="009457BC"/>
    <w:rsid w:val="00946A05"/>
    <w:rsid w:val="009479E0"/>
    <w:rsid w:val="00950071"/>
    <w:rsid w:val="00950605"/>
    <w:rsid w:val="0095091E"/>
    <w:rsid w:val="0095123F"/>
    <w:rsid w:val="0095142E"/>
    <w:rsid w:val="00952233"/>
    <w:rsid w:val="009529BB"/>
    <w:rsid w:val="00954916"/>
    <w:rsid w:val="00954D66"/>
    <w:rsid w:val="00956B86"/>
    <w:rsid w:val="0095727C"/>
    <w:rsid w:val="00960512"/>
    <w:rsid w:val="009606BC"/>
    <w:rsid w:val="00961878"/>
    <w:rsid w:val="00962821"/>
    <w:rsid w:val="00963211"/>
    <w:rsid w:val="00963223"/>
    <w:rsid w:val="00963F8F"/>
    <w:rsid w:val="0096435F"/>
    <w:rsid w:val="00965967"/>
    <w:rsid w:val="00965F6E"/>
    <w:rsid w:val="00966B88"/>
    <w:rsid w:val="00967759"/>
    <w:rsid w:val="00970F97"/>
    <w:rsid w:val="00971183"/>
    <w:rsid w:val="00971556"/>
    <w:rsid w:val="009726FD"/>
    <w:rsid w:val="009727BB"/>
    <w:rsid w:val="00972876"/>
    <w:rsid w:val="00972A27"/>
    <w:rsid w:val="009735DF"/>
    <w:rsid w:val="009735EC"/>
    <w:rsid w:val="00973AF4"/>
    <w:rsid w:val="00973C62"/>
    <w:rsid w:val="00974518"/>
    <w:rsid w:val="009747FA"/>
    <w:rsid w:val="00975D76"/>
    <w:rsid w:val="00976768"/>
    <w:rsid w:val="00980501"/>
    <w:rsid w:val="00980724"/>
    <w:rsid w:val="0098105E"/>
    <w:rsid w:val="0098171C"/>
    <w:rsid w:val="009819A9"/>
    <w:rsid w:val="00981BD0"/>
    <w:rsid w:val="00982084"/>
    <w:rsid w:val="00982E51"/>
    <w:rsid w:val="00982F03"/>
    <w:rsid w:val="009841E2"/>
    <w:rsid w:val="00984477"/>
    <w:rsid w:val="009844DC"/>
    <w:rsid w:val="00984D83"/>
    <w:rsid w:val="00985173"/>
    <w:rsid w:val="00985229"/>
    <w:rsid w:val="00985685"/>
    <w:rsid w:val="00985D35"/>
    <w:rsid w:val="0098737B"/>
    <w:rsid w:val="00987386"/>
    <w:rsid w:val="009874B9"/>
    <w:rsid w:val="00987612"/>
    <w:rsid w:val="00987CCE"/>
    <w:rsid w:val="0099025C"/>
    <w:rsid w:val="009908A7"/>
    <w:rsid w:val="00991D11"/>
    <w:rsid w:val="00993581"/>
    <w:rsid w:val="00993F61"/>
    <w:rsid w:val="009942FF"/>
    <w:rsid w:val="00994592"/>
    <w:rsid w:val="009947F9"/>
    <w:rsid w:val="00994978"/>
    <w:rsid w:val="009954D6"/>
    <w:rsid w:val="0099553D"/>
    <w:rsid w:val="0099590F"/>
    <w:rsid w:val="009A0216"/>
    <w:rsid w:val="009A17CC"/>
    <w:rsid w:val="009A24F5"/>
    <w:rsid w:val="009A288C"/>
    <w:rsid w:val="009A477E"/>
    <w:rsid w:val="009A596E"/>
    <w:rsid w:val="009A5D1D"/>
    <w:rsid w:val="009A64C1"/>
    <w:rsid w:val="009A64EA"/>
    <w:rsid w:val="009A74DA"/>
    <w:rsid w:val="009A74EF"/>
    <w:rsid w:val="009B1009"/>
    <w:rsid w:val="009B2042"/>
    <w:rsid w:val="009B2DB6"/>
    <w:rsid w:val="009B36FE"/>
    <w:rsid w:val="009B3CDD"/>
    <w:rsid w:val="009B404F"/>
    <w:rsid w:val="009B4A10"/>
    <w:rsid w:val="009B6697"/>
    <w:rsid w:val="009B6E9D"/>
    <w:rsid w:val="009C0072"/>
    <w:rsid w:val="009C023D"/>
    <w:rsid w:val="009C1402"/>
    <w:rsid w:val="009C17E1"/>
    <w:rsid w:val="009C189C"/>
    <w:rsid w:val="009C19AB"/>
    <w:rsid w:val="009C2B43"/>
    <w:rsid w:val="009C2EA4"/>
    <w:rsid w:val="009C3079"/>
    <w:rsid w:val="009C39A6"/>
    <w:rsid w:val="009C3F71"/>
    <w:rsid w:val="009C44BA"/>
    <w:rsid w:val="009C47F5"/>
    <w:rsid w:val="009C4AFA"/>
    <w:rsid w:val="009C4C04"/>
    <w:rsid w:val="009C4DF1"/>
    <w:rsid w:val="009C4F2E"/>
    <w:rsid w:val="009C53AA"/>
    <w:rsid w:val="009C5806"/>
    <w:rsid w:val="009C61EC"/>
    <w:rsid w:val="009C6F31"/>
    <w:rsid w:val="009C765F"/>
    <w:rsid w:val="009D0635"/>
    <w:rsid w:val="009D0E6B"/>
    <w:rsid w:val="009D2B57"/>
    <w:rsid w:val="009D2E4B"/>
    <w:rsid w:val="009D3043"/>
    <w:rsid w:val="009D3163"/>
    <w:rsid w:val="009D3189"/>
    <w:rsid w:val="009D418D"/>
    <w:rsid w:val="009D44B8"/>
    <w:rsid w:val="009D45D1"/>
    <w:rsid w:val="009D5645"/>
    <w:rsid w:val="009D5E47"/>
    <w:rsid w:val="009D6048"/>
    <w:rsid w:val="009D6173"/>
    <w:rsid w:val="009D6AE8"/>
    <w:rsid w:val="009D79E7"/>
    <w:rsid w:val="009E0572"/>
    <w:rsid w:val="009E0612"/>
    <w:rsid w:val="009E0B75"/>
    <w:rsid w:val="009E1A80"/>
    <w:rsid w:val="009E1C91"/>
    <w:rsid w:val="009E1C95"/>
    <w:rsid w:val="009E252A"/>
    <w:rsid w:val="009E25D8"/>
    <w:rsid w:val="009E30F7"/>
    <w:rsid w:val="009E3244"/>
    <w:rsid w:val="009E3DF7"/>
    <w:rsid w:val="009E46A8"/>
    <w:rsid w:val="009E51F0"/>
    <w:rsid w:val="009E5AA9"/>
    <w:rsid w:val="009E5D01"/>
    <w:rsid w:val="009E5FCB"/>
    <w:rsid w:val="009E63D9"/>
    <w:rsid w:val="009E6C34"/>
    <w:rsid w:val="009E7BE5"/>
    <w:rsid w:val="009F04D4"/>
    <w:rsid w:val="009F0ADC"/>
    <w:rsid w:val="009F0D9A"/>
    <w:rsid w:val="009F0E53"/>
    <w:rsid w:val="009F150E"/>
    <w:rsid w:val="009F20CC"/>
    <w:rsid w:val="009F20D3"/>
    <w:rsid w:val="009F3358"/>
    <w:rsid w:val="009F403C"/>
    <w:rsid w:val="009F4DBB"/>
    <w:rsid w:val="009F5105"/>
    <w:rsid w:val="009F5227"/>
    <w:rsid w:val="009F5DCA"/>
    <w:rsid w:val="009F669B"/>
    <w:rsid w:val="009F6919"/>
    <w:rsid w:val="009F6DE3"/>
    <w:rsid w:val="009F7024"/>
    <w:rsid w:val="009F7566"/>
    <w:rsid w:val="00A00287"/>
    <w:rsid w:val="00A01D0E"/>
    <w:rsid w:val="00A0207F"/>
    <w:rsid w:val="00A02943"/>
    <w:rsid w:val="00A0455D"/>
    <w:rsid w:val="00A04FED"/>
    <w:rsid w:val="00A0541F"/>
    <w:rsid w:val="00A062AA"/>
    <w:rsid w:val="00A06388"/>
    <w:rsid w:val="00A06663"/>
    <w:rsid w:val="00A06BFE"/>
    <w:rsid w:val="00A105B1"/>
    <w:rsid w:val="00A10F5D"/>
    <w:rsid w:val="00A1243C"/>
    <w:rsid w:val="00A12504"/>
    <w:rsid w:val="00A125C9"/>
    <w:rsid w:val="00A128E4"/>
    <w:rsid w:val="00A12A80"/>
    <w:rsid w:val="00A135AE"/>
    <w:rsid w:val="00A1361F"/>
    <w:rsid w:val="00A1364F"/>
    <w:rsid w:val="00A13934"/>
    <w:rsid w:val="00A14AF1"/>
    <w:rsid w:val="00A14C37"/>
    <w:rsid w:val="00A1540E"/>
    <w:rsid w:val="00A164D6"/>
    <w:rsid w:val="00A165CD"/>
    <w:rsid w:val="00A16891"/>
    <w:rsid w:val="00A173C9"/>
    <w:rsid w:val="00A2029C"/>
    <w:rsid w:val="00A202FA"/>
    <w:rsid w:val="00A20398"/>
    <w:rsid w:val="00A2073C"/>
    <w:rsid w:val="00A20D5C"/>
    <w:rsid w:val="00A21F6E"/>
    <w:rsid w:val="00A220E7"/>
    <w:rsid w:val="00A224DA"/>
    <w:rsid w:val="00A23288"/>
    <w:rsid w:val="00A2355F"/>
    <w:rsid w:val="00A243B5"/>
    <w:rsid w:val="00A24650"/>
    <w:rsid w:val="00A24B11"/>
    <w:rsid w:val="00A24CDE"/>
    <w:rsid w:val="00A25199"/>
    <w:rsid w:val="00A268CE"/>
    <w:rsid w:val="00A269E2"/>
    <w:rsid w:val="00A270C6"/>
    <w:rsid w:val="00A319FC"/>
    <w:rsid w:val="00A31A0B"/>
    <w:rsid w:val="00A31C00"/>
    <w:rsid w:val="00A3223A"/>
    <w:rsid w:val="00A32D95"/>
    <w:rsid w:val="00A32FBD"/>
    <w:rsid w:val="00A33025"/>
    <w:rsid w:val="00A332E8"/>
    <w:rsid w:val="00A3496F"/>
    <w:rsid w:val="00A34E35"/>
    <w:rsid w:val="00A34FD0"/>
    <w:rsid w:val="00A35AF5"/>
    <w:rsid w:val="00A35DDF"/>
    <w:rsid w:val="00A35E1C"/>
    <w:rsid w:val="00A36836"/>
    <w:rsid w:val="00A36B25"/>
    <w:rsid w:val="00A36CBA"/>
    <w:rsid w:val="00A375C1"/>
    <w:rsid w:val="00A37845"/>
    <w:rsid w:val="00A40CDA"/>
    <w:rsid w:val="00A41F8F"/>
    <w:rsid w:val="00A4278C"/>
    <w:rsid w:val="00A431D2"/>
    <w:rsid w:val="00A442CA"/>
    <w:rsid w:val="00A45340"/>
    <w:rsid w:val="00A45741"/>
    <w:rsid w:val="00A459F3"/>
    <w:rsid w:val="00A45D28"/>
    <w:rsid w:val="00A45D9B"/>
    <w:rsid w:val="00A469A6"/>
    <w:rsid w:val="00A46DF4"/>
    <w:rsid w:val="00A46F36"/>
    <w:rsid w:val="00A470D8"/>
    <w:rsid w:val="00A50291"/>
    <w:rsid w:val="00A51961"/>
    <w:rsid w:val="00A51FC9"/>
    <w:rsid w:val="00A525FF"/>
    <w:rsid w:val="00A52770"/>
    <w:rsid w:val="00A52B2E"/>
    <w:rsid w:val="00A530E4"/>
    <w:rsid w:val="00A5451D"/>
    <w:rsid w:val="00A547E2"/>
    <w:rsid w:val="00A54D82"/>
    <w:rsid w:val="00A54E4B"/>
    <w:rsid w:val="00A55111"/>
    <w:rsid w:val="00A55321"/>
    <w:rsid w:val="00A559AA"/>
    <w:rsid w:val="00A55A0A"/>
    <w:rsid w:val="00A55AC9"/>
    <w:rsid w:val="00A55CA8"/>
    <w:rsid w:val="00A5618E"/>
    <w:rsid w:val="00A56265"/>
    <w:rsid w:val="00A56DD0"/>
    <w:rsid w:val="00A57D94"/>
    <w:rsid w:val="00A602E1"/>
    <w:rsid w:val="00A604CD"/>
    <w:rsid w:val="00A608AF"/>
    <w:rsid w:val="00A60A72"/>
    <w:rsid w:val="00A60FE6"/>
    <w:rsid w:val="00A6109B"/>
    <w:rsid w:val="00A622F5"/>
    <w:rsid w:val="00A62904"/>
    <w:rsid w:val="00A643B6"/>
    <w:rsid w:val="00A654BE"/>
    <w:rsid w:val="00A65BDD"/>
    <w:rsid w:val="00A65DEF"/>
    <w:rsid w:val="00A66B45"/>
    <w:rsid w:val="00A66DD6"/>
    <w:rsid w:val="00A66FEF"/>
    <w:rsid w:val="00A708FD"/>
    <w:rsid w:val="00A70E3F"/>
    <w:rsid w:val="00A7246A"/>
    <w:rsid w:val="00A738C3"/>
    <w:rsid w:val="00A738FB"/>
    <w:rsid w:val="00A73AAB"/>
    <w:rsid w:val="00A73CBB"/>
    <w:rsid w:val="00A746D8"/>
    <w:rsid w:val="00A75AA6"/>
    <w:rsid w:val="00A75EDA"/>
    <w:rsid w:val="00A762D5"/>
    <w:rsid w:val="00A76D1C"/>
    <w:rsid w:val="00A76D49"/>
    <w:rsid w:val="00A771FD"/>
    <w:rsid w:val="00A80C07"/>
    <w:rsid w:val="00A80F84"/>
    <w:rsid w:val="00A81E80"/>
    <w:rsid w:val="00A81F85"/>
    <w:rsid w:val="00A8247E"/>
    <w:rsid w:val="00A826D9"/>
    <w:rsid w:val="00A83835"/>
    <w:rsid w:val="00A83FA5"/>
    <w:rsid w:val="00A844B8"/>
    <w:rsid w:val="00A84906"/>
    <w:rsid w:val="00A8525A"/>
    <w:rsid w:val="00A856A9"/>
    <w:rsid w:val="00A859C9"/>
    <w:rsid w:val="00A85A12"/>
    <w:rsid w:val="00A86633"/>
    <w:rsid w:val="00A867CD"/>
    <w:rsid w:val="00A874EF"/>
    <w:rsid w:val="00A95415"/>
    <w:rsid w:val="00A95416"/>
    <w:rsid w:val="00A95E4F"/>
    <w:rsid w:val="00A96BAC"/>
    <w:rsid w:val="00AA06D6"/>
    <w:rsid w:val="00AA08C3"/>
    <w:rsid w:val="00AA10C1"/>
    <w:rsid w:val="00AA137C"/>
    <w:rsid w:val="00AA1555"/>
    <w:rsid w:val="00AA1A9E"/>
    <w:rsid w:val="00AA317D"/>
    <w:rsid w:val="00AA3C89"/>
    <w:rsid w:val="00AA4ED5"/>
    <w:rsid w:val="00AA65EF"/>
    <w:rsid w:val="00AA6CBF"/>
    <w:rsid w:val="00AA7218"/>
    <w:rsid w:val="00AB0E3C"/>
    <w:rsid w:val="00AB178A"/>
    <w:rsid w:val="00AB31F0"/>
    <w:rsid w:val="00AB32BD"/>
    <w:rsid w:val="00AB4182"/>
    <w:rsid w:val="00AB4723"/>
    <w:rsid w:val="00AB4CBA"/>
    <w:rsid w:val="00AB55B7"/>
    <w:rsid w:val="00AB58B6"/>
    <w:rsid w:val="00AB5A3C"/>
    <w:rsid w:val="00AB6569"/>
    <w:rsid w:val="00AB6DB5"/>
    <w:rsid w:val="00AB7B49"/>
    <w:rsid w:val="00AB7DEE"/>
    <w:rsid w:val="00AC01DC"/>
    <w:rsid w:val="00AC04DC"/>
    <w:rsid w:val="00AC0D56"/>
    <w:rsid w:val="00AC12B9"/>
    <w:rsid w:val="00AC149C"/>
    <w:rsid w:val="00AC1718"/>
    <w:rsid w:val="00AC183D"/>
    <w:rsid w:val="00AC1EC4"/>
    <w:rsid w:val="00AC1EEB"/>
    <w:rsid w:val="00AC2C14"/>
    <w:rsid w:val="00AC347A"/>
    <w:rsid w:val="00AC43B3"/>
    <w:rsid w:val="00AC4CDB"/>
    <w:rsid w:val="00AC4D15"/>
    <w:rsid w:val="00AC4DD3"/>
    <w:rsid w:val="00AC7044"/>
    <w:rsid w:val="00AC70FE"/>
    <w:rsid w:val="00AC7115"/>
    <w:rsid w:val="00AC7701"/>
    <w:rsid w:val="00AC7BFB"/>
    <w:rsid w:val="00AD0684"/>
    <w:rsid w:val="00AD0D19"/>
    <w:rsid w:val="00AD0D64"/>
    <w:rsid w:val="00AD0F25"/>
    <w:rsid w:val="00AD3093"/>
    <w:rsid w:val="00AD3452"/>
    <w:rsid w:val="00AD36A8"/>
    <w:rsid w:val="00AD3EE0"/>
    <w:rsid w:val="00AD4358"/>
    <w:rsid w:val="00AD4837"/>
    <w:rsid w:val="00AD4DC7"/>
    <w:rsid w:val="00AD56D9"/>
    <w:rsid w:val="00AD594A"/>
    <w:rsid w:val="00AD6515"/>
    <w:rsid w:val="00AE008F"/>
    <w:rsid w:val="00AE054C"/>
    <w:rsid w:val="00AE0E55"/>
    <w:rsid w:val="00AE0F3C"/>
    <w:rsid w:val="00AE2046"/>
    <w:rsid w:val="00AE38FE"/>
    <w:rsid w:val="00AE4705"/>
    <w:rsid w:val="00AE4BEE"/>
    <w:rsid w:val="00AE5387"/>
    <w:rsid w:val="00AE57C0"/>
    <w:rsid w:val="00AE6CE5"/>
    <w:rsid w:val="00AE71FE"/>
    <w:rsid w:val="00AF10D8"/>
    <w:rsid w:val="00AF12EA"/>
    <w:rsid w:val="00AF187B"/>
    <w:rsid w:val="00AF2213"/>
    <w:rsid w:val="00AF2991"/>
    <w:rsid w:val="00AF44F1"/>
    <w:rsid w:val="00AF50B0"/>
    <w:rsid w:val="00AF52A9"/>
    <w:rsid w:val="00AF5D41"/>
    <w:rsid w:val="00AF61E1"/>
    <w:rsid w:val="00AF638A"/>
    <w:rsid w:val="00AF7347"/>
    <w:rsid w:val="00B00141"/>
    <w:rsid w:val="00B009AA"/>
    <w:rsid w:val="00B00ECE"/>
    <w:rsid w:val="00B011BE"/>
    <w:rsid w:val="00B01804"/>
    <w:rsid w:val="00B01DBC"/>
    <w:rsid w:val="00B023EA"/>
    <w:rsid w:val="00B02C23"/>
    <w:rsid w:val="00B02F2C"/>
    <w:rsid w:val="00B030C8"/>
    <w:rsid w:val="00B039C0"/>
    <w:rsid w:val="00B03A69"/>
    <w:rsid w:val="00B03E62"/>
    <w:rsid w:val="00B04EF7"/>
    <w:rsid w:val="00B056E7"/>
    <w:rsid w:val="00B05B54"/>
    <w:rsid w:val="00B05B71"/>
    <w:rsid w:val="00B07576"/>
    <w:rsid w:val="00B07A47"/>
    <w:rsid w:val="00B07AD7"/>
    <w:rsid w:val="00B10035"/>
    <w:rsid w:val="00B102E8"/>
    <w:rsid w:val="00B10611"/>
    <w:rsid w:val="00B112A6"/>
    <w:rsid w:val="00B12175"/>
    <w:rsid w:val="00B12319"/>
    <w:rsid w:val="00B12855"/>
    <w:rsid w:val="00B129D0"/>
    <w:rsid w:val="00B134B3"/>
    <w:rsid w:val="00B140FA"/>
    <w:rsid w:val="00B145F7"/>
    <w:rsid w:val="00B14646"/>
    <w:rsid w:val="00B146C9"/>
    <w:rsid w:val="00B147A7"/>
    <w:rsid w:val="00B15790"/>
    <w:rsid w:val="00B15C76"/>
    <w:rsid w:val="00B165C5"/>
    <w:rsid w:val="00B165E6"/>
    <w:rsid w:val="00B17F3A"/>
    <w:rsid w:val="00B201D7"/>
    <w:rsid w:val="00B2036B"/>
    <w:rsid w:val="00B21596"/>
    <w:rsid w:val="00B226EA"/>
    <w:rsid w:val="00B22C92"/>
    <w:rsid w:val="00B235DB"/>
    <w:rsid w:val="00B236D8"/>
    <w:rsid w:val="00B23703"/>
    <w:rsid w:val="00B24091"/>
    <w:rsid w:val="00B24AA3"/>
    <w:rsid w:val="00B251EF"/>
    <w:rsid w:val="00B25AC6"/>
    <w:rsid w:val="00B25C88"/>
    <w:rsid w:val="00B26211"/>
    <w:rsid w:val="00B26BD2"/>
    <w:rsid w:val="00B2733F"/>
    <w:rsid w:val="00B277FF"/>
    <w:rsid w:val="00B30260"/>
    <w:rsid w:val="00B308AD"/>
    <w:rsid w:val="00B30E5A"/>
    <w:rsid w:val="00B3189F"/>
    <w:rsid w:val="00B31AB4"/>
    <w:rsid w:val="00B31BAD"/>
    <w:rsid w:val="00B322C5"/>
    <w:rsid w:val="00B32562"/>
    <w:rsid w:val="00B34049"/>
    <w:rsid w:val="00B34BCC"/>
    <w:rsid w:val="00B35ACB"/>
    <w:rsid w:val="00B35CC6"/>
    <w:rsid w:val="00B36CD8"/>
    <w:rsid w:val="00B36D88"/>
    <w:rsid w:val="00B36FD4"/>
    <w:rsid w:val="00B375B0"/>
    <w:rsid w:val="00B377E2"/>
    <w:rsid w:val="00B402C0"/>
    <w:rsid w:val="00B4077F"/>
    <w:rsid w:val="00B40D1A"/>
    <w:rsid w:val="00B41513"/>
    <w:rsid w:val="00B41977"/>
    <w:rsid w:val="00B42179"/>
    <w:rsid w:val="00B439DA"/>
    <w:rsid w:val="00B44663"/>
    <w:rsid w:val="00B447C0"/>
    <w:rsid w:val="00B45088"/>
    <w:rsid w:val="00B457FB"/>
    <w:rsid w:val="00B4610A"/>
    <w:rsid w:val="00B46331"/>
    <w:rsid w:val="00B46763"/>
    <w:rsid w:val="00B478CA"/>
    <w:rsid w:val="00B47A78"/>
    <w:rsid w:val="00B501E7"/>
    <w:rsid w:val="00B505A8"/>
    <w:rsid w:val="00B516B5"/>
    <w:rsid w:val="00B51962"/>
    <w:rsid w:val="00B51AAC"/>
    <w:rsid w:val="00B51ED9"/>
    <w:rsid w:val="00B525AA"/>
    <w:rsid w:val="00B534A2"/>
    <w:rsid w:val="00B53889"/>
    <w:rsid w:val="00B546E2"/>
    <w:rsid w:val="00B548A2"/>
    <w:rsid w:val="00B54E28"/>
    <w:rsid w:val="00B54FED"/>
    <w:rsid w:val="00B55517"/>
    <w:rsid w:val="00B55627"/>
    <w:rsid w:val="00B557E5"/>
    <w:rsid w:val="00B55E6F"/>
    <w:rsid w:val="00B55F3C"/>
    <w:rsid w:val="00B56934"/>
    <w:rsid w:val="00B56C1C"/>
    <w:rsid w:val="00B57BA0"/>
    <w:rsid w:val="00B57BB5"/>
    <w:rsid w:val="00B57F86"/>
    <w:rsid w:val="00B57FF8"/>
    <w:rsid w:val="00B60049"/>
    <w:rsid w:val="00B6095F"/>
    <w:rsid w:val="00B61401"/>
    <w:rsid w:val="00B61DA1"/>
    <w:rsid w:val="00B629A8"/>
    <w:rsid w:val="00B62AB1"/>
    <w:rsid w:val="00B62F03"/>
    <w:rsid w:val="00B631E7"/>
    <w:rsid w:val="00B64C32"/>
    <w:rsid w:val="00B66225"/>
    <w:rsid w:val="00B6791E"/>
    <w:rsid w:val="00B67DE5"/>
    <w:rsid w:val="00B708D1"/>
    <w:rsid w:val="00B70ACA"/>
    <w:rsid w:val="00B70AEA"/>
    <w:rsid w:val="00B70D28"/>
    <w:rsid w:val="00B71676"/>
    <w:rsid w:val="00B71C13"/>
    <w:rsid w:val="00B72056"/>
    <w:rsid w:val="00B7239D"/>
    <w:rsid w:val="00B72444"/>
    <w:rsid w:val="00B724A0"/>
    <w:rsid w:val="00B7259E"/>
    <w:rsid w:val="00B73B00"/>
    <w:rsid w:val="00B73CBD"/>
    <w:rsid w:val="00B74800"/>
    <w:rsid w:val="00B748ED"/>
    <w:rsid w:val="00B755E6"/>
    <w:rsid w:val="00B75645"/>
    <w:rsid w:val="00B75884"/>
    <w:rsid w:val="00B765D3"/>
    <w:rsid w:val="00B76B6B"/>
    <w:rsid w:val="00B80E1E"/>
    <w:rsid w:val="00B814A6"/>
    <w:rsid w:val="00B8159B"/>
    <w:rsid w:val="00B81D1B"/>
    <w:rsid w:val="00B82FA5"/>
    <w:rsid w:val="00B83353"/>
    <w:rsid w:val="00B83708"/>
    <w:rsid w:val="00B84050"/>
    <w:rsid w:val="00B844DE"/>
    <w:rsid w:val="00B869D1"/>
    <w:rsid w:val="00B86D50"/>
    <w:rsid w:val="00B87C3B"/>
    <w:rsid w:val="00B90C84"/>
    <w:rsid w:val="00B9184E"/>
    <w:rsid w:val="00B91B21"/>
    <w:rsid w:val="00B92779"/>
    <w:rsid w:val="00B93B62"/>
    <w:rsid w:val="00B95191"/>
    <w:rsid w:val="00B953D1"/>
    <w:rsid w:val="00B9681F"/>
    <w:rsid w:val="00B96D93"/>
    <w:rsid w:val="00BA0185"/>
    <w:rsid w:val="00BA124F"/>
    <w:rsid w:val="00BA2336"/>
    <w:rsid w:val="00BA249E"/>
    <w:rsid w:val="00BA30D0"/>
    <w:rsid w:val="00BA3149"/>
    <w:rsid w:val="00BA3590"/>
    <w:rsid w:val="00BA40ED"/>
    <w:rsid w:val="00BA51BF"/>
    <w:rsid w:val="00BA6716"/>
    <w:rsid w:val="00BA74C4"/>
    <w:rsid w:val="00BA7B7B"/>
    <w:rsid w:val="00BB0026"/>
    <w:rsid w:val="00BB03FB"/>
    <w:rsid w:val="00BB08B5"/>
    <w:rsid w:val="00BB0D2E"/>
    <w:rsid w:val="00BB0D32"/>
    <w:rsid w:val="00BB15F3"/>
    <w:rsid w:val="00BB1840"/>
    <w:rsid w:val="00BB3C99"/>
    <w:rsid w:val="00BB4D1C"/>
    <w:rsid w:val="00BB4E16"/>
    <w:rsid w:val="00BB50DA"/>
    <w:rsid w:val="00BB57D7"/>
    <w:rsid w:val="00BB688E"/>
    <w:rsid w:val="00BB70D1"/>
    <w:rsid w:val="00BB74DD"/>
    <w:rsid w:val="00BC022C"/>
    <w:rsid w:val="00BC03D9"/>
    <w:rsid w:val="00BC0600"/>
    <w:rsid w:val="00BC0645"/>
    <w:rsid w:val="00BC2974"/>
    <w:rsid w:val="00BC2AF9"/>
    <w:rsid w:val="00BC2B6C"/>
    <w:rsid w:val="00BC3617"/>
    <w:rsid w:val="00BC426A"/>
    <w:rsid w:val="00BC4325"/>
    <w:rsid w:val="00BC61A8"/>
    <w:rsid w:val="00BC6336"/>
    <w:rsid w:val="00BC65A4"/>
    <w:rsid w:val="00BC69FC"/>
    <w:rsid w:val="00BC6E2D"/>
    <w:rsid w:val="00BC76B5"/>
    <w:rsid w:val="00BC7926"/>
    <w:rsid w:val="00BC7ACD"/>
    <w:rsid w:val="00BD00B4"/>
    <w:rsid w:val="00BD03E9"/>
    <w:rsid w:val="00BD0F99"/>
    <w:rsid w:val="00BD144C"/>
    <w:rsid w:val="00BD20BC"/>
    <w:rsid w:val="00BD2BB9"/>
    <w:rsid w:val="00BD2CD3"/>
    <w:rsid w:val="00BD2FE6"/>
    <w:rsid w:val="00BD3815"/>
    <w:rsid w:val="00BD4028"/>
    <w:rsid w:val="00BD4ABA"/>
    <w:rsid w:val="00BD5420"/>
    <w:rsid w:val="00BD5752"/>
    <w:rsid w:val="00BD60C6"/>
    <w:rsid w:val="00BD60F9"/>
    <w:rsid w:val="00BD65A7"/>
    <w:rsid w:val="00BD6B03"/>
    <w:rsid w:val="00BD6BAA"/>
    <w:rsid w:val="00BD7226"/>
    <w:rsid w:val="00BE0785"/>
    <w:rsid w:val="00BE09FD"/>
    <w:rsid w:val="00BE14B3"/>
    <w:rsid w:val="00BE1CCC"/>
    <w:rsid w:val="00BE2358"/>
    <w:rsid w:val="00BE2586"/>
    <w:rsid w:val="00BE339A"/>
    <w:rsid w:val="00BE4874"/>
    <w:rsid w:val="00BE4A11"/>
    <w:rsid w:val="00BE56C1"/>
    <w:rsid w:val="00BE5A1D"/>
    <w:rsid w:val="00BE5DEA"/>
    <w:rsid w:val="00BE6197"/>
    <w:rsid w:val="00BE6EBD"/>
    <w:rsid w:val="00BE6F5A"/>
    <w:rsid w:val="00BF109C"/>
    <w:rsid w:val="00BF14BA"/>
    <w:rsid w:val="00BF2C2E"/>
    <w:rsid w:val="00BF3E82"/>
    <w:rsid w:val="00BF4967"/>
    <w:rsid w:val="00BF56F8"/>
    <w:rsid w:val="00BF60EA"/>
    <w:rsid w:val="00BF679C"/>
    <w:rsid w:val="00BF760F"/>
    <w:rsid w:val="00BF7CF5"/>
    <w:rsid w:val="00C00128"/>
    <w:rsid w:val="00C00A95"/>
    <w:rsid w:val="00C00FB2"/>
    <w:rsid w:val="00C021AD"/>
    <w:rsid w:val="00C03B20"/>
    <w:rsid w:val="00C046DE"/>
    <w:rsid w:val="00C04BD2"/>
    <w:rsid w:val="00C050CF"/>
    <w:rsid w:val="00C05B89"/>
    <w:rsid w:val="00C05E73"/>
    <w:rsid w:val="00C07120"/>
    <w:rsid w:val="00C07E64"/>
    <w:rsid w:val="00C101C6"/>
    <w:rsid w:val="00C10AAA"/>
    <w:rsid w:val="00C1125A"/>
    <w:rsid w:val="00C118C3"/>
    <w:rsid w:val="00C11AC4"/>
    <w:rsid w:val="00C11EC9"/>
    <w:rsid w:val="00C126AA"/>
    <w:rsid w:val="00C13307"/>
    <w:rsid w:val="00C13328"/>
    <w:rsid w:val="00C13A91"/>
    <w:rsid w:val="00C13EEC"/>
    <w:rsid w:val="00C141C0"/>
    <w:rsid w:val="00C14689"/>
    <w:rsid w:val="00C14868"/>
    <w:rsid w:val="00C14BA9"/>
    <w:rsid w:val="00C156A4"/>
    <w:rsid w:val="00C158F7"/>
    <w:rsid w:val="00C16343"/>
    <w:rsid w:val="00C16639"/>
    <w:rsid w:val="00C16E05"/>
    <w:rsid w:val="00C17FCB"/>
    <w:rsid w:val="00C2022D"/>
    <w:rsid w:val="00C2036A"/>
    <w:rsid w:val="00C20EC9"/>
    <w:rsid w:val="00C20FAA"/>
    <w:rsid w:val="00C21F64"/>
    <w:rsid w:val="00C2201F"/>
    <w:rsid w:val="00C2328E"/>
    <w:rsid w:val="00C23B76"/>
    <w:rsid w:val="00C2459D"/>
    <w:rsid w:val="00C256E0"/>
    <w:rsid w:val="00C25925"/>
    <w:rsid w:val="00C259B9"/>
    <w:rsid w:val="00C25FA0"/>
    <w:rsid w:val="00C27042"/>
    <w:rsid w:val="00C2755A"/>
    <w:rsid w:val="00C27E85"/>
    <w:rsid w:val="00C30647"/>
    <w:rsid w:val="00C306F7"/>
    <w:rsid w:val="00C311FA"/>
    <w:rsid w:val="00C316F1"/>
    <w:rsid w:val="00C31A90"/>
    <w:rsid w:val="00C31D05"/>
    <w:rsid w:val="00C339AD"/>
    <w:rsid w:val="00C35073"/>
    <w:rsid w:val="00C35BA6"/>
    <w:rsid w:val="00C363DA"/>
    <w:rsid w:val="00C367D0"/>
    <w:rsid w:val="00C36C96"/>
    <w:rsid w:val="00C37FDA"/>
    <w:rsid w:val="00C41239"/>
    <w:rsid w:val="00C41855"/>
    <w:rsid w:val="00C41FBC"/>
    <w:rsid w:val="00C42C95"/>
    <w:rsid w:val="00C4305A"/>
    <w:rsid w:val="00C430A0"/>
    <w:rsid w:val="00C430E1"/>
    <w:rsid w:val="00C43589"/>
    <w:rsid w:val="00C4435D"/>
    <w:rsid w:val="00C4470F"/>
    <w:rsid w:val="00C44A9E"/>
    <w:rsid w:val="00C451AF"/>
    <w:rsid w:val="00C457DE"/>
    <w:rsid w:val="00C46F03"/>
    <w:rsid w:val="00C474A0"/>
    <w:rsid w:val="00C50417"/>
    <w:rsid w:val="00C50727"/>
    <w:rsid w:val="00C50979"/>
    <w:rsid w:val="00C50F58"/>
    <w:rsid w:val="00C51985"/>
    <w:rsid w:val="00C52A02"/>
    <w:rsid w:val="00C52F55"/>
    <w:rsid w:val="00C53437"/>
    <w:rsid w:val="00C53568"/>
    <w:rsid w:val="00C54174"/>
    <w:rsid w:val="00C54C6D"/>
    <w:rsid w:val="00C55E5B"/>
    <w:rsid w:val="00C56A10"/>
    <w:rsid w:val="00C56B8C"/>
    <w:rsid w:val="00C57273"/>
    <w:rsid w:val="00C60298"/>
    <w:rsid w:val="00C6065C"/>
    <w:rsid w:val="00C61026"/>
    <w:rsid w:val="00C61513"/>
    <w:rsid w:val="00C61C80"/>
    <w:rsid w:val="00C62739"/>
    <w:rsid w:val="00C63677"/>
    <w:rsid w:val="00C63797"/>
    <w:rsid w:val="00C63F14"/>
    <w:rsid w:val="00C641FD"/>
    <w:rsid w:val="00C6487A"/>
    <w:rsid w:val="00C65083"/>
    <w:rsid w:val="00C65C53"/>
    <w:rsid w:val="00C65F02"/>
    <w:rsid w:val="00C6602B"/>
    <w:rsid w:val="00C667B9"/>
    <w:rsid w:val="00C667C9"/>
    <w:rsid w:val="00C66C68"/>
    <w:rsid w:val="00C66F3B"/>
    <w:rsid w:val="00C67730"/>
    <w:rsid w:val="00C704E1"/>
    <w:rsid w:val="00C7153D"/>
    <w:rsid w:val="00C71FF7"/>
    <w:rsid w:val="00C720A4"/>
    <w:rsid w:val="00C743E4"/>
    <w:rsid w:val="00C74C6D"/>
    <w:rsid w:val="00C758E2"/>
    <w:rsid w:val="00C7596B"/>
    <w:rsid w:val="00C7611C"/>
    <w:rsid w:val="00C7682F"/>
    <w:rsid w:val="00C76E53"/>
    <w:rsid w:val="00C7789C"/>
    <w:rsid w:val="00C81F87"/>
    <w:rsid w:val="00C825B1"/>
    <w:rsid w:val="00C8296C"/>
    <w:rsid w:val="00C82A8A"/>
    <w:rsid w:val="00C82BDC"/>
    <w:rsid w:val="00C82F54"/>
    <w:rsid w:val="00C833AE"/>
    <w:rsid w:val="00C833BE"/>
    <w:rsid w:val="00C83D4A"/>
    <w:rsid w:val="00C83D79"/>
    <w:rsid w:val="00C866A6"/>
    <w:rsid w:val="00C86B92"/>
    <w:rsid w:val="00C8719A"/>
    <w:rsid w:val="00C87378"/>
    <w:rsid w:val="00C8783C"/>
    <w:rsid w:val="00C878F1"/>
    <w:rsid w:val="00C87A52"/>
    <w:rsid w:val="00C87EB1"/>
    <w:rsid w:val="00C9074E"/>
    <w:rsid w:val="00C90AD1"/>
    <w:rsid w:val="00C90BAB"/>
    <w:rsid w:val="00C90CE1"/>
    <w:rsid w:val="00C90D07"/>
    <w:rsid w:val="00C90DA6"/>
    <w:rsid w:val="00C9221E"/>
    <w:rsid w:val="00C93E1C"/>
    <w:rsid w:val="00C94097"/>
    <w:rsid w:val="00C94AAB"/>
    <w:rsid w:val="00C94BA6"/>
    <w:rsid w:val="00C9585C"/>
    <w:rsid w:val="00C972FD"/>
    <w:rsid w:val="00C97B4E"/>
    <w:rsid w:val="00CA002A"/>
    <w:rsid w:val="00CA026B"/>
    <w:rsid w:val="00CA0A09"/>
    <w:rsid w:val="00CA2B92"/>
    <w:rsid w:val="00CA2C54"/>
    <w:rsid w:val="00CA4269"/>
    <w:rsid w:val="00CA42D0"/>
    <w:rsid w:val="00CA5DAD"/>
    <w:rsid w:val="00CA5E36"/>
    <w:rsid w:val="00CA6EF8"/>
    <w:rsid w:val="00CA7116"/>
    <w:rsid w:val="00CA7215"/>
    <w:rsid w:val="00CA7330"/>
    <w:rsid w:val="00CA79EB"/>
    <w:rsid w:val="00CB1276"/>
    <w:rsid w:val="00CB1667"/>
    <w:rsid w:val="00CB1820"/>
    <w:rsid w:val="00CB182F"/>
    <w:rsid w:val="00CB1C84"/>
    <w:rsid w:val="00CB40D3"/>
    <w:rsid w:val="00CB433E"/>
    <w:rsid w:val="00CB49EF"/>
    <w:rsid w:val="00CB4F04"/>
    <w:rsid w:val="00CB5363"/>
    <w:rsid w:val="00CB5BBD"/>
    <w:rsid w:val="00CB6188"/>
    <w:rsid w:val="00CB64F0"/>
    <w:rsid w:val="00CB6E79"/>
    <w:rsid w:val="00CB6E7D"/>
    <w:rsid w:val="00CB7276"/>
    <w:rsid w:val="00CB78CA"/>
    <w:rsid w:val="00CC0C93"/>
    <w:rsid w:val="00CC11B3"/>
    <w:rsid w:val="00CC1F68"/>
    <w:rsid w:val="00CC2909"/>
    <w:rsid w:val="00CC30AF"/>
    <w:rsid w:val="00CC7768"/>
    <w:rsid w:val="00CC79D5"/>
    <w:rsid w:val="00CD0059"/>
    <w:rsid w:val="00CD01EE"/>
    <w:rsid w:val="00CD0498"/>
    <w:rsid w:val="00CD0549"/>
    <w:rsid w:val="00CD0DEE"/>
    <w:rsid w:val="00CD0E03"/>
    <w:rsid w:val="00CD1C17"/>
    <w:rsid w:val="00CD1D94"/>
    <w:rsid w:val="00CD21E8"/>
    <w:rsid w:val="00CD22F9"/>
    <w:rsid w:val="00CD29C1"/>
    <w:rsid w:val="00CD3292"/>
    <w:rsid w:val="00CD3851"/>
    <w:rsid w:val="00CD3B04"/>
    <w:rsid w:val="00CD3CE5"/>
    <w:rsid w:val="00CD4927"/>
    <w:rsid w:val="00CD50F8"/>
    <w:rsid w:val="00CD5336"/>
    <w:rsid w:val="00CD55A0"/>
    <w:rsid w:val="00CD5E2C"/>
    <w:rsid w:val="00CD5F17"/>
    <w:rsid w:val="00CD6FDA"/>
    <w:rsid w:val="00CD7046"/>
    <w:rsid w:val="00CD71C7"/>
    <w:rsid w:val="00CD738E"/>
    <w:rsid w:val="00CD777B"/>
    <w:rsid w:val="00CD79C9"/>
    <w:rsid w:val="00CD7BFD"/>
    <w:rsid w:val="00CE04B6"/>
    <w:rsid w:val="00CE0703"/>
    <w:rsid w:val="00CE0C47"/>
    <w:rsid w:val="00CE0E39"/>
    <w:rsid w:val="00CE11E8"/>
    <w:rsid w:val="00CE1789"/>
    <w:rsid w:val="00CE268A"/>
    <w:rsid w:val="00CE2970"/>
    <w:rsid w:val="00CE2C9A"/>
    <w:rsid w:val="00CE44A3"/>
    <w:rsid w:val="00CE4A8C"/>
    <w:rsid w:val="00CE6672"/>
    <w:rsid w:val="00CE6AAC"/>
    <w:rsid w:val="00CE6B3C"/>
    <w:rsid w:val="00CE6D3F"/>
    <w:rsid w:val="00CE7BA9"/>
    <w:rsid w:val="00CE7C8F"/>
    <w:rsid w:val="00CF1091"/>
    <w:rsid w:val="00CF1430"/>
    <w:rsid w:val="00CF24BF"/>
    <w:rsid w:val="00CF2516"/>
    <w:rsid w:val="00CF2BBD"/>
    <w:rsid w:val="00CF2DFC"/>
    <w:rsid w:val="00CF354B"/>
    <w:rsid w:val="00CF38FC"/>
    <w:rsid w:val="00CF3B13"/>
    <w:rsid w:val="00CF3D0A"/>
    <w:rsid w:val="00CF5F43"/>
    <w:rsid w:val="00CF64E4"/>
    <w:rsid w:val="00CF7552"/>
    <w:rsid w:val="00CF762B"/>
    <w:rsid w:val="00CF78CF"/>
    <w:rsid w:val="00D00208"/>
    <w:rsid w:val="00D0046C"/>
    <w:rsid w:val="00D00C61"/>
    <w:rsid w:val="00D00E55"/>
    <w:rsid w:val="00D0152D"/>
    <w:rsid w:val="00D01927"/>
    <w:rsid w:val="00D03B76"/>
    <w:rsid w:val="00D03D4C"/>
    <w:rsid w:val="00D03E2B"/>
    <w:rsid w:val="00D03E3F"/>
    <w:rsid w:val="00D05016"/>
    <w:rsid w:val="00D05861"/>
    <w:rsid w:val="00D05E6F"/>
    <w:rsid w:val="00D07903"/>
    <w:rsid w:val="00D07B3A"/>
    <w:rsid w:val="00D07FC9"/>
    <w:rsid w:val="00D10A2A"/>
    <w:rsid w:val="00D12013"/>
    <w:rsid w:val="00D12BC1"/>
    <w:rsid w:val="00D12DB0"/>
    <w:rsid w:val="00D13CEB"/>
    <w:rsid w:val="00D13D9D"/>
    <w:rsid w:val="00D144E0"/>
    <w:rsid w:val="00D15987"/>
    <w:rsid w:val="00D15AE3"/>
    <w:rsid w:val="00D1610B"/>
    <w:rsid w:val="00D16A52"/>
    <w:rsid w:val="00D1771C"/>
    <w:rsid w:val="00D17C92"/>
    <w:rsid w:val="00D201EC"/>
    <w:rsid w:val="00D20296"/>
    <w:rsid w:val="00D20536"/>
    <w:rsid w:val="00D2303E"/>
    <w:rsid w:val="00D2322B"/>
    <w:rsid w:val="00D2371A"/>
    <w:rsid w:val="00D24C0A"/>
    <w:rsid w:val="00D25FE7"/>
    <w:rsid w:val="00D26C70"/>
    <w:rsid w:val="00D26E42"/>
    <w:rsid w:val="00D27929"/>
    <w:rsid w:val="00D300CB"/>
    <w:rsid w:val="00D301C5"/>
    <w:rsid w:val="00D30CAE"/>
    <w:rsid w:val="00D333D7"/>
    <w:rsid w:val="00D33442"/>
    <w:rsid w:val="00D34F6A"/>
    <w:rsid w:val="00D3534C"/>
    <w:rsid w:val="00D35CB7"/>
    <w:rsid w:val="00D36702"/>
    <w:rsid w:val="00D37CA6"/>
    <w:rsid w:val="00D401A0"/>
    <w:rsid w:val="00D40675"/>
    <w:rsid w:val="00D407B5"/>
    <w:rsid w:val="00D40BF4"/>
    <w:rsid w:val="00D419C6"/>
    <w:rsid w:val="00D41C43"/>
    <w:rsid w:val="00D42851"/>
    <w:rsid w:val="00D428D5"/>
    <w:rsid w:val="00D42B1D"/>
    <w:rsid w:val="00D43582"/>
    <w:rsid w:val="00D43995"/>
    <w:rsid w:val="00D44053"/>
    <w:rsid w:val="00D44228"/>
    <w:rsid w:val="00D44BAD"/>
    <w:rsid w:val="00D44EA6"/>
    <w:rsid w:val="00D454C0"/>
    <w:rsid w:val="00D457B0"/>
    <w:rsid w:val="00D45B55"/>
    <w:rsid w:val="00D4732D"/>
    <w:rsid w:val="00D47B13"/>
    <w:rsid w:val="00D47CE6"/>
    <w:rsid w:val="00D505B6"/>
    <w:rsid w:val="00D50C42"/>
    <w:rsid w:val="00D50F37"/>
    <w:rsid w:val="00D510E0"/>
    <w:rsid w:val="00D516E9"/>
    <w:rsid w:val="00D51BEA"/>
    <w:rsid w:val="00D5277D"/>
    <w:rsid w:val="00D52959"/>
    <w:rsid w:val="00D52DDC"/>
    <w:rsid w:val="00D53C6D"/>
    <w:rsid w:val="00D54502"/>
    <w:rsid w:val="00D56675"/>
    <w:rsid w:val="00D567A2"/>
    <w:rsid w:val="00D5685A"/>
    <w:rsid w:val="00D56A7C"/>
    <w:rsid w:val="00D57FFB"/>
    <w:rsid w:val="00D6066E"/>
    <w:rsid w:val="00D60AA5"/>
    <w:rsid w:val="00D60E18"/>
    <w:rsid w:val="00D63C77"/>
    <w:rsid w:val="00D6604C"/>
    <w:rsid w:val="00D66FD7"/>
    <w:rsid w:val="00D67152"/>
    <w:rsid w:val="00D67444"/>
    <w:rsid w:val="00D679C2"/>
    <w:rsid w:val="00D7049D"/>
    <w:rsid w:val="00D7097B"/>
    <w:rsid w:val="00D7202B"/>
    <w:rsid w:val="00D72326"/>
    <w:rsid w:val="00D73024"/>
    <w:rsid w:val="00D74053"/>
    <w:rsid w:val="00D748E0"/>
    <w:rsid w:val="00D7687F"/>
    <w:rsid w:val="00D76892"/>
    <w:rsid w:val="00D76A31"/>
    <w:rsid w:val="00D76C60"/>
    <w:rsid w:val="00D77D4E"/>
    <w:rsid w:val="00D80708"/>
    <w:rsid w:val="00D8075C"/>
    <w:rsid w:val="00D80BFC"/>
    <w:rsid w:val="00D812D0"/>
    <w:rsid w:val="00D81780"/>
    <w:rsid w:val="00D82B1A"/>
    <w:rsid w:val="00D82C20"/>
    <w:rsid w:val="00D85912"/>
    <w:rsid w:val="00D85A89"/>
    <w:rsid w:val="00D861DB"/>
    <w:rsid w:val="00D874AC"/>
    <w:rsid w:val="00D87D0F"/>
    <w:rsid w:val="00D90CB0"/>
    <w:rsid w:val="00D914BD"/>
    <w:rsid w:val="00D91DFA"/>
    <w:rsid w:val="00D92865"/>
    <w:rsid w:val="00D929D8"/>
    <w:rsid w:val="00D933C7"/>
    <w:rsid w:val="00D935CF"/>
    <w:rsid w:val="00D95CFD"/>
    <w:rsid w:val="00D95D78"/>
    <w:rsid w:val="00D97A67"/>
    <w:rsid w:val="00DA095D"/>
    <w:rsid w:val="00DA1556"/>
    <w:rsid w:val="00DA159A"/>
    <w:rsid w:val="00DA1AC9"/>
    <w:rsid w:val="00DA4154"/>
    <w:rsid w:val="00DA46FB"/>
    <w:rsid w:val="00DA4AA3"/>
    <w:rsid w:val="00DA51E9"/>
    <w:rsid w:val="00DA5317"/>
    <w:rsid w:val="00DA5C34"/>
    <w:rsid w:val="00DA6154"/>
    <w:rsid w:val="00DA658E"/>
    <w:rsid w:val="00DA69DD"/>
    <w:rsid w:val="00DA6D2A"/>
    <w:rsid w:val="00DB00D6"/>
    <w:rsid w:val="00DB0B4F"/>
    <w:rsid w:val="00DB108C"/>
    <w:rsid w:val="00DB19B6"/>
    <w:rsid w:val="00DB1AB2"/>
    <w:rsid w:val="00DB1AF7"/>
    <w:rsid w:val="00DB22A0"/>
    <w:rsid w:val="00DB2A58"/>
    <w:rsid w:val="00DB3070"/>
    <w:rsid w:val="00DB353F"/>
    <w:rsid w:val="00DB433D"/>
    <w:rsid w:val="00DB495E"/>
    <w:rsid w:val="00DB5371"/>
    <w:rsid w:val="00DB5B35"/>
    <w:rsid w:val="00DB6A2C"/>
    <w:rsid w:val="00DB6D03"/>
    <w:rsid w:val="00DC07B8"/>
    <w:rsid w:val="00DC0F3B"/>
    <w:rsid w:val="00DC2AF4"/>
    <w:rsid w:val="00DC4420"/>
    <w:rsid w:val="00DC44C9"/>
    <w:rsid w:val="00DC4FDF"/>
    <w:rsid w:val="00DC5CE0"/>
    <w:rsid w:val="00DC66F0"/>
    <w:rsid w:val="00DC67A1"/>
    <w:rsid w:val="00DC697E"/>
    <w:rsid w:val="00DC723B"/>
    <w:rsid w:val="00DC7414"/>
    <w:rsid w:val="00DD2267"/>
    <w:rsid w:val="00DD30AD"/>
    <w:rsid w:val="00DD321D"/>
    <w:rsid w:val="00DD3264"/>
    <w:rsid w:val="00DD32AE"/>
    <w:rsid w:val="00DD3A4E"/>
    <w:rsid w:val="00DD3A65"/>
    <w:rsid w:val="00DD4164"/>
    <w:rsid w:val="00DD5C6F"/>
    <w:rsid w:val="00DD5CA5"/>
    <w:rsid w:val="00DD62C6"/>
    <w:rsid w:val="00DD6A9B"/>
    <w:rsid w:val="00DD7172"/>
    <w:rsid w:val="00DD7304"/>
    <w:rsid w:val="00DD73FC"/>
    <w:rsid w:val="00DD7410"/>
    <w:rsid w:val="00DE00B5"/>
    <w:rsid w:val="00DE00C9"/>
    <w:rsid w:val="00DE16FA"/>
    <w:rsid w:val="00DE1CD3"/>
    <w:rsid w:val="00DE2EA2"/>
    <w:rsid w:val="00DE3165"/>
    <w:rsid w:val="00DE32F6"/>
    <w:rsid w:val="00DE3B92"/>
    <w:rsid w:val="00DE43FF"/>
    <w:rsid w:val="00DE4560"/>
    <w:rsid w:val="00DE59F7"/>
    <w:rsid w:val="00DE5C0F"/>
    <w:rsid w:val="00DE6648"/>
    <w:rsid w:val="00DE6ABB"/>
    <w:rsid w:val="00DE6CD7"/>
    <w:rsid w:val="00DE7137"/>
    <w:rsid w:val="00DE78FD"/>
    <w:rsid w:val="00DF3157"/>
    <w:rsid w:val="00DF3E08"/>
    <w:rsid w:val="00DF4989"/>
    <w:rsid w:val="00DF4B77"/>
    <w:rsid w:val="00DF4F7C"/>
    <w:rsid w:val="00DF658C"/>
    <w:rsid w:val="00DF6BD5"/>
    <w:rsid w:val="00E00498"/>
    <w:rsid w:val="00E006DE"/>
    <w:rsid w:val="00E0078B"/>
    <w:rsid w:val="00E00928"/>
    <w:rsid w:val="00E02A59"/>
    <w:rsid w:val="00E03614"/>
    <w:rsid w:val="00E0473E"/>
    <w:rsid w:val="00E0483E"/>
    <w:rsid w:val="00E052B0"/>
    <w:rsid w:val="00E0784D"/>
    <w:rsid w:val="00E07EEC"/>
    <w:rsid w:val="00E07F5B"/>
    <w:rsid w:val="00E101BF"/>
    <w:rsid w:val="00E10216"/>
    <w:rsid w:val="00E12BDE"/>
    <w:rsid w:val="00E13178"/>
    <w:rsid w:val="00E139EE"/>
    <w:rsid w:val="00E13B0C"/>
    <w:rsid w:val="00E142D9"/>
    <w:rsid w:val="00E14341"/>
    <w:rsid w:val="00E14ADB"/>
    <w:rsid w:val="00E153CA"/>
    <w:rsid w:val="00E159A2"/>
    <w:rsid w:val="00E1636E"/>
    <w:rsid w:val="00E17A62"/>
    <w:rsid w:val="00E203C2"/>
    <w:rsid w:val="00E20433"/>
    <w:rsid w:val="00E20A50"/>
    <w:rsid w:val="00E21732"/>
    <w:rsid w:val="00E2207A"/>
    <w:rsid w:val="00E22A10"/>
    <w:rsid w:val="00E23306"/>
    <w:rsid w:val="00E239E3"/>
    <w:rsid w:val="00E2425D"/>
    <w:rsid w:val="00E24C2F"/>
    <w:rsid w:val="00E25714"/>
    <w:rsid w:val="00E2617A"/>
    <w:rsid w:val="00E26405"/>
    <w:rsid w:val="00E2711A"/>
    <w:rsid w:val="00E27B85"/>
    <w:rsid w:val="00E305A7"/>
    <w:rsid w:val="00E30D1F"/>
    <w:rsid w:val="00E3108E"/>
    <w:rsid w:val="00E31CD4"/>
    <w:rsid w:val="00E31E5B"/>
    <w:rsid w:val="00E32360"/>
    <w:rsid w:val="00E327B5"/>
    <w:rsid w:val="00E328E1"/>
    <w:rsid w:val="00E33F16"/>
    <w:rsid w:val="00E35E65"/>
    <w:rsid w:val="00E370F8"/>
    <w:rsid w:val="00E371E9"/>
    <w:rsid w:val="00E376C1"/>
    <w:rsid w:val="00E377C1"/>
    <w:rsid w:val="00E402FB"/>
    <w:rsid w:val="00E404DF"/>
    <w:rsid w:val="00E406DB"/>
    <w:rsid w:val="00E415CC"/>
    <w:rsid w:val="00E4218D"/>
    <w:rsid w:val="00E42263"/>
    <w:rsid w:val="00E42486"/>
    <w:rsid w:val="00E4334A"/>
    <w:rsid w:val="00E441D5"/>
    <w:rsid w:val="00E445CC"/>
    <w:rsid w:val="00E4502A"/>
    <w:rsid w:val="00E465A5"/>
    <w:rsid w:val="00E4666D"/>
    <w:rsid w:val="00E46C5D"/>
    <w:rsid w:val="00E46CE0"/>
    <w:rsid w:val="00E47ABD"/>
    <w:rsid w:val="00E50194"/>
    <w:rsid w:val="00E505C5"/>
    <w:rsid w:val="00E516C0"/>
    <w:rsid w:val="00E5170D"/>
    <w:rsid w:val="00E53017"/>
    <w:rsid w:val="00E536FD"/>
    <w:rsid w:val="00E5381C"/>
    <w:rsid w:val="00E538E6"/>
    <w:rsid w:val="00E53EFB"/>
    <w:rsid w:val="00E54B9A"/>
    <w:rsid w:val="00E560DE"/>
    <w:rsid w:val="00E56CB9"/>
    <w:rsid w:val="00E56EB1"/>
    <w:rsid w:val="00E5758B"/>
    <w:rsid w:val="00E57C2B"/>
    <w:rsid w:val="00E57CC2"/>
    <w:rsid w:val="00E57EA1"/>
    <w:rsid w:val="00E60072"/>
    <w:rsid w:val="00E600C9"/>
    <w:rsid w:val="00E60118"/>
    <w:rsid w:val="00E604BE"/>
    <w:rsid w:val="00E60727"/>
    <w:rsid w:val="00E60BB4"/>
    <w:rsid w:val="00E61896"/>
    <w:rsid w:val="00E61D5C"/>
    <w:rsid w:val="00E62023"/>
    <w:rsid w:val="00E63991"/>
    <w:rsid w:val="00E658DA"/>
    <w:rsid w:val="00E65CCB"/>
    <w:rsid w:val="00E675DF"/>
    <w:rsid w:val="00E70516"/>
    <w:rsid w:val="00E70940"/>
    <w:rsid w:val="00E712F4"/>
    <w:rsid w:val="00E71352"/>
    <w:rsid w:val="00E715E6"/>
    <w:rsid w:val="00E71CAD"/>
    <w:rsid w:val="00E732B2"/>
    <w:rsid w:val="00E735C0"/>
    <w:rsid w:val="00E73EC1"/>
    <w:rsid w:val="00E74332"/>
    <w:rsid w:val="00E7462C"/>
    <w:rsid w:val="00E74C1C"/>
    <w:rsid w:val="00E74D3A"/>
    <w:rsid w:val="00E751A8"/>
    <w:rsid w:val="00E802A2"/>
    <w:rsid w:val="00E8163D"/>
    <w:rsid w:val="00E818D7"/>
    <w:rsid w:val="00E81B04"/>
    <w:rsid w:val="00E81E26"/>
    <w:rsid w:val="00E81F53"/>
    <w:rsid w:val="00E82261"/>
    <w:rsid w:val="00E82477"/>
    <w:rsid w:val="00E82DDC"/>
    <w:rsid w:val="00E834D8"/>
    <w:rsid w:val="00E83FC7"/>
    <w:rsid w:val="00E841FD"/>
    <w:rsid w:val="00E84AD1"/>
    <w:rsid w:val="00E84DA1"/>
    <w:rsid w:val="00E85017"/>
    <w:rsid w:val="00E85C0B"/>
    <w:rsid w:val="00E8645F"/>
    <w:rsid w:val="00E91087"/>
    <w:rsid w:val="00E91986"/>
    <w:rsid w:val="00E929A9"/>
    <w:rsid w:val="00E94676"/>
    <w:rsid w:val="00E94C43"/>
    <w:rsid w:val="00E96BF7"/>
    <w:rsid w:val="00E96C53"/>
    <w:rsid w:val="00E96E08"/>
    <w:rsid w:val="00E971B8"/>
    <w:rsid w:val="00E97252"/>
    <w:rsid w:val="00E972BE"/>
    <w:rsid w:val="00EA099A"/>
    <w:rsid w:val="00EA0A2B"/>
    <w:rsid w:val="00EA3F05"/>
    <w:rsid w:val="00EA4477"/>
    <w:rsid w:val="00EA49AB"/>
    <w:rsid w:val="00EA51CC"/>
    <w:rsid w:val="00EA58EA"/>
    <w:rsid w:val="00EA6313"/>
    <w:rsid w:val="00EA67E1"/>
    <w:rsid w:val="00EA6EA4"/>
    <w:rsid w:val="00EA719E"/>
    <w:rsid w:val="00EA7626"/>
    <w:rsid w:val="00EA7730"/>
    <w:rsid w:val="00EB0D01"/>
    <w:rsid w:val="00EB13D7"/>
    <w:rsid w:val="00EB1E83"/>
    <w:rsid w:val="00EB1ED2"/>
    <w:rsid w:val="00EB3536"/>
    <w:rsid w:val="00EB3E67"/>
    <w:rsid w:val="00EB4294"/>
    <w:rsid w:val="00EB6B2D"/>
    <w:rsid w:val="00EB6E49"/>
    <w:rsid w:val="00EB72C1"/>
    <w:rsid w:val="00EB7C4F"/>
    <w:rsid w:val="00EC0554"/>
    <w:rsid w:val="00EC139F"/>
    <w:rsid w:val="00EC18AE"/>
    <w:rsid w:val="00EC263C"/>
    <w:rsid w:val="00EC2ECE"/>
    <w:rsid w:val="00EC301B"/>
    <w:rsid w:val="00EC3523"/>
    <w:rsid w:val="00EC383E"/>
    <w:rsid w:val="00EC3D9F"/>
    <w:rsid w:val="00EC408F"/>
    <w:rsid w:val="00EC4B15"/>
    <w:rsid w:val="00EC55FA"/>
    <w:rsid w:val="00EC7D84"/>
    <w:rsid w:val="00EC7EA0"/>
    <w:rsid w:val="00ED0823"/>
    <w:rsid w:val="00ED0DB7"/>
    <w:rsid w:val="00ED18C4"/>
    <w:rsid w:val="00ED1FA5"/>
    <w:rsid w:val="00ED1FFE"/>
    <w:rsid w:val="00ED22CB"/>
    <w:rsid w:val="00ED2304"/>
    <w:rsid w:val="00ED2E93"/>
    <w:rsid w:val="00ED3724"/>
    <w:rsid w:val="00ED3735"/>
    <w:rsid w:val="00ED5163"/>
    <w:rsid w:val="00ED5AF9"/>
    <w:rsid w:val="00ED5F95"/>
    <w:rsid w:val="00ED615B"/>
    <w:rsid w:val="00ED67AF"/>
    <w:rsid w:val="00ED71FF"/>
    <w:rsid w:val="00ED7703"/>
    <w:rsid w:val="00EE0418"/>
    <w:rsid w:val="00EE087A"/>
    <w:rsid w:val="00EE128C"/>
    <w:rsid w:val="00EE1F29"/>
    <w:rsid w:val="00EE2704"/>
    <w:rsid w:val="00EE297E"/>
    <w:rsid w:val="00EE3CA4"/>
    <w:rsid w:val="00EE4271"/>
    <w:rsid w:val="00EE44D7"/>
    <w:rsid w:val="00EE4539"/>
    <w:rsid w:val="00EE46E5"/>
    <w:rsid w:val="00EE4C48"/>
    <w:rsid w:val="00EE4D73"/>
    <w:rsid w:val="00EE5572"/>
    <w:rsid w:val="00EE5CA2"/>
    <w:rsid w:val="00EE5F65"/>
    <w:rsid w:val="00EE6A0C"/>
    <w:rsid w:val="00EE79BA"/>
    <w:rsid w:val="00EF193B"/>
    <w:rsid w:val="00EF1E8D"/>
    <w:rsid w:val="00EF2082"/>
    <w:rsid w:val="00EF2A49"/>
    <w:rsid w:val="00EF3218"/>
    <w:rsid w:val="00EF3FF8"/>
    <w:rsid w:val="00EF4056"/>
    <w:rsid w:val="00EF4CC6"/>
    <w:rsid w:val="00EF5A37"/>
    <w:rsid w:val="00EF6326"/>
    <w:rsid w:val="00EF66D9"/>
    <w:rsid w:val="00EF68E3"/>
    <w:rsid w:val="00EF6BA5"/>
    <w:rsid w:val="00EF780D"/>
    <w:rsid w:val="00EF7A98"/>
    <w:rsid w:val="00EF7B44"/>
    <w:rsid w:val="00F00816"/>
    <w:rsid w:val="00F01370"/>
    <w:rsid w:val="00F01F12"/>
    <w:rsid w:val="00F01FBD"/>
    <w:rsid w:val="00F0267E"/>
    <w:rsid w:val="00F02687"/>
    <w:rsid w:val="00F02A3A"/>
    <w:rsid w:val="00F030E5"/>
    <w:rsid w:val="00F04A45"/>
    <w:rsid w:val="00F05B36"/>
    <w:rsid w:val="00F0675F"/>
    <w:rsid w:val="00F06857"/>
    <w:rsid w:val="00F068FD"/>
    <w:rsid w:val="00F06D16"/>
    <w:rsid w:val="00F11194"/>
    <w:rsid w:val="00F112C8"/>
    <w:rsid w:val="00F112D2"/>
    <w:rsid w:val="00F116E4"/>
    <w:rsid w:val="00F11B47"/>
    <w:rsid w:val="00F1294E"/>
    <w:rsid w:val="00F12F0C"/>
    <w:rsid w:val="00F131E5"/>
    <w:rsid w:val="00F13558"/>
    <w:rsid w:val="00F15B95"/>
    <w:rsid w:val="00F16239"/>
    <w:rsid w:val="00F168A3"/>
    <w:rsid w:val="00F16C1A"/>
    <w:rsid w:val="00F16E7C"/>
    <w:rsid w:val="00F17552"/>
    <w:rsid w:val="00F20504"/>
    <w:rsid w:val="00F20C64"/>
    <w:rsid w:val="00F21108"/>
    <w:rsid w:val="00F21140"/>
    <w:rsid w:val="00F213B9"/>
    <w:rsid w:val="00F21998"/>
    <w:rsid w:val="00F21A6D"/>
    <w:rsid w:val="00F2218B"/>
    <w:rsid w:val="00F2357F"/>
    <w:rsid w:val="00F23C92"/>
    <w:rsid w:val="00F2412D"/>
    <w:rsid w:val="00F25027"/>
    <w:rsid w:val="00F254F3"/>
    <w:rsid w:val="00F25859"/>
    <w:rsid w:val="00F25D8D"/>
    <w:rsid w:val="00F25E93"/>
    <w:rsid w:val="00F2602E"/>
    <w:rsid w:val="00F2616A"/>
    <w:rsid w:val="00F271BB"/>
    <w:rsid w:val="00F27E33"/>
    <w:rsid w:val="00F30FD6"/>
    <w:rsid w:val="00F31FE0"/>
    <w:rsid w:val="00F32125"/>
    <w:rsid w:val="00F32ABD"/>
    <w:rsid w:val="00F32B07"/>
    <w:rsid w:val="00F32BD6"/>
    <w:rsid w:val="00F32C38"/>
    <w:rsid w:val="00F3368C"/>
    <w:rsid w:val="00F337A3"/>
    <w:rsid w:val="00F3447A"/>
    <w:rsid w:val="00F354D8"/>
    <w:rsid w:val="00F355A4"/>
    <w:rsid w:val="00F35C76"/>
    <w:rsid w:val="00F3603E"/>
    <w:rsid w:val="00F370C6"/>
    <w:rsid w:val="00F372F4"/>
    <w:rsid w:val="00F37BC6"/>
    <w:rsid w:val="00F37D89"/>
    <w:rsid w:val="00F40A41"/>
    <w:rsid w:val="00F40BF7"/>
    <w:rsid w:val="00F42AC5"/>
    <w:rsid w:val="00F44587"/>
    <w:rsid w:val="00F44CCB"/>
    <w:rsid w:val="00F464CA"/>
    <w:rsid w:val="00F474C9"/>
    <w:rsid w:val="00F47CBC"/>
    <w:rsid w:val="00F50D9D"/>
    <w:rsid w:val="00F511BE"/>
    <w:rsid w:val="00F5126B"/>
    <w:rsid w:val="00F518CE"/>
    <w:rsid w:val="00F5213C"/>
    <w:rsid w:val="00F53F92"/>
    <w:rsid w:val="00F5414E"/>
    <w:rsid w:val="00F54E4D"/>
    <w:rsid w:val="00F54EA3"/>
    <w:rsid w:val="00F54F33"/>
    <w:rsid w:val="00F55373"/>
    <w:rsid w:val="00F5587D"/>
    <w:rsid w:val="00F55946"/>
    <w:rsid w:val="00F56C1B"/>
    <w:rsid w:val="00F56F08"/>
    <w:rsid w:val="00F5723C"/>
    <w:rsid w:val="00F576B2"/>
    <w:rsid w:val="00F5794E"/>
    <w:rsid w:val="00F57950"/>
    <w:rsid w:val="00F603A9"/>
    <w:rsid w:val="00F60E40"/>
    <w:rsid w:val="00F60FAC"/>
    <w:rsid w:val="00F6124A"/>
    <w:rsid w:val="00F61675"/>
    <w:rsid w:val="00F61FC7"/>
    <w:rsid w:val="00F62878"/>
    <w:rsid w:val="00F636E9"/>
    <w:rsid w:val="00F63A34"/>
    <w:rsid w:val="00F64411"/>
    <w:rsid w:val="00F64747"/>
    <w:rsid w:val="00F64CEE"/>
    <w:rsid w:val="00F65169"/>
    <w:rsid w:val="00F654C2"/>
    <w:rsid w:val="00F657C9"/>
    <w:rsid w:val="00F6686B"/>
    <w:rsid w:val="00F66CC3"/>
    <w:rsid w:val="00F6787B"/>
    <w:rsid w:val="00F67AD7"/>
    <w:rsid w:val="00F67CDA"/>
    <w:rsid w:val="00F67F74"/>
    <w:rsid w:val="00F7075F"/>
    <w:rsid w:val="00F71190"/>
    <w:rsid w:val="00F712B3"/>
    <w:rsid w:val="00F71CB6"/>
    <w:rsid w:val="00F73DE3"/>
    <w:rsid w:val="00F744BF"/>
    <w:rsid w:val="00F74FBE"/>
    <w:rsid w:val="00F7500D"/>
    <w:rsid w:val="00F7502C"/>
    <w:rsid w:val="00F760B7"/>
    <w:rsid w:val="00F7632C"/>
    <w:rsid w:val="00F76D75"/>
    <w:rsid w:val="00F76F8E"/>
    <w:rsid w:val="00F77165"/>
    <w:rsid w:val="00F77219"/>
    <w:rsid w:val="00F80E31"/>
    <w:rsid w:val="00F80E5C"/>
    <w:rsid w:val="00F80EA3"/>
    <w:rsid w:val="00F8111E"/>
    <w:rsid w:val="00F812F6"/>
    <w:rsid w:val="00F81A15"/>
    <w:rsid w:val="00F81BDE"/>
    <w:rsid w:val="00F81D9E"/>
    <w:rsid w:val="00F81F89"/>
    <w:rsid w:val="00F82256"/>
    <w:rsid w:val="00F825DA"/>
    <w:rsid w:val="00F82C53"/>
    <w:rsid w:val="00F831BB"/>
    <w:rsid w:val="00F83A12"/>
    <w:rsid w:val="00F84BFB"/>
    <w:rsid w:val="00F84DD2"/>
    <w:rsid w:val="00F85BC9"/>
    <w:rsid w:val="00F85BD7"/>
    <w:rsid w:val="00F861DE"/>
    <w:rsid w:val="00F8716F"/>
    <w:rsid w:val="00F87CE6"/>
    <w:rsid w:val="00F90978"/>
    <w:rsid w:val="00F9108C"/>
    <w:rsid w:val="00F918BE"/>
    <w:rsid w:val="00F91F3C"/>
    <w:rsid w:val="00F92225"/>
    <w:rsid w:val="00F92D85"/>
    <w:rsid w:val="00F92FF8"/>
    <w:rsid w:val="00F934C0"/>
    <w:rsid w:val="00F942B7"/>
    <w:rsid w:val="00F96729"/>
    <w:rsid w:val="00F97397"/>
    <w:rsid w:val="00FA0B17"/>
    <w:rsid w:val="00FA0C6C"/>
    <w:rsid w:val="00FA1C81"/>
    <w:rsid w:val="00FA229C"/>
    <w:rsid w:val="00FA30CD"/>
    <w:rsid w:val="00FA32E7"/>
    <w:rsid w:val="00FA3500"/>
    <w:rsid w:val="00FA4F90"/>
    <w:rsid w:val="00FA50E4"/>
    <w:rsid w:val="00FA5565"/>
    <w:rsid w:val="00FA6930"/>
    <w:rsid w:val="00FA7B25"/>
    <w:rsid w:val="00FA7DDC"/>
    <w:rsid w:val="00FB026A"/>
    <w:rsid w:val="00FB0872"/>
    <w:rsid w:val="00FB147D"/>
    <w:rsid w:val="00FB1BA1"/>
    <w:rsid w:val="00FB229A"/>
    <w:rsid w:val="00FB25DC"/>
    <w:rsid w:val="00FB2A14"/>
    <w:rsid w:val="00FB2AA1"/>
    <w:rsid w:val="00FB2BBE"/>
    <w:rsid w:val="00FB2E51"/>
    <w:rsid w:val="00FB30D6"/>
    <w:rsid w:val="00FB506F"/>
    <w:rsid w:val="00FB54CC"/>
    <w:rsid w:val="00FB64EE"/>
    <w:rsid w:val="00FB6820"/>
    <w:rsid w:val="00FB71DC"/>
    <w:rsid w:val="00FB7E6A"/>
    <w:rsid w:val="00FC013C"/>
    <w:rsid w:val="00FC047C"/>
    <w:rsid w:val="00FC0506"/>
    <w:rsid w:val="00FC07EA"/>
    <w:rsid w:val="00FC0C42"/>
    <w:rsid w:val="00FC1EF7"/>
    <w:rsid w:val="00FC228F"/>
    <w:rsid w:val="00FC46D9"/>
    <w:rsid w:val="00FC578B"/>
    <w:rsid w:val="00FC5F0F"/>
    <w:rsid w:val="00FD0E5C"/>
    <w:rsid w:val="00FD11AB"/>
    <w:rsid w:val="00FD153F"/>
    <w:rsid w:val="00FD16E7"/>
    <w:rsid w:val="00FD1A37"/>
    <w:rsid w:val="00FD2207"/>
    <w:rsid w:val="00FD3C7E"/>
    <w:rsid w:val="00FD4E5B"/>
    <w:rsid w:val="00FD5446"/>
    <w:rsid w:val="00FD75FD"/>
    <w:rsid w:val="00FE1075"/>
    <w:rsid w:val="00FE2804"/>
    <w:rsid w:val="00FE2AD9"/>
    <w:rsid w:val="00FE3544"/>
    <w:rsid w:val="00FE35CC"/>
    <w:rsid w:val="00FE380A"/>
    <w:rsid w:val="00FE3A14"/>
    <w:rsid w:val="00FE4EE0"/>
    <w:rsid w:val="00FE5435"/>
    <w:rsid w:val="00FE55F3"/>
    <w:rsid w:val="00FE5650"/>
    <w:rsid w:val="00FE5F43"/>
    <w:rsid w:val="00FE5FD8"/>
    <w:rsid w:val="00FF0635"/>
    <w:rsid w:val="00FF199F"/>
    <w:rsid w:val="00FF1AD1"/>
    <w:rsid w:val="00FF20CF"/>
    <w:rsid w:val="00FF2208"/>
    <w:rsid w:val="00FF3006"/>
    <w:rsid w:val="00FF34F2"/>
    <w:rsid w:val="00FF4328"/>
    <w:rsid w:val="00FF44DE"/>
    <w:rsid w:val="00FF4553"/>
    <w:rsid w:val="00FF54AC"/>
    <w:rsid w:val="00FF57D2"/>
    <w:rsid w:val="00FF5DF2"/>
    <w:rsid w:val="00FF63F4"/>
    <w:rsid w:val="00FF662D"/>
    <w:rsid w:val="0FDBC3FE"/>
    <w:rsid w:val="1177945F"/>
    <w:rsid w:val="170C4997"/>
    <w:rsid w:val="1A417E2F"/>
    <w:rsid w:val="1B2DE347"/>
    <w:rsid w:val="1D1DF4FD"/>
    <w:rsid w:val="1EBE04F0"/>
    <w:rsid w:val="2F3AED2D"/>
    <w:rsid w:val="385420CC"/>
    <w:rsid w:val="3A7BA796"/>
    <w:rsid w:val="433D376C"/>
    <w:rsid w:val="45246EB3"/>
    <w:rsid w:val="51AB72EC"/>
    <w:rsid w:val="53D83D41"/>
    <w:rsid w:val="57E66290"/>
    <w:rsid w:val="67185827"/>
    <w:rsid w:val="68E91A9A"/>
    <w:rsid w:val="7A4AEAF0"/>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E43CBE"/>
  <w15:docId w15:val="{EBD565F4-6C00-4005-8C97-695DB715C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7">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lsdException w:name="Light List" w:uiPriority="61"/>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uiPriority="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next w:val="Bodytext"/>
    <w:uiPriority w:val="1"/>
    <w:qFormat/>
    <w:rsid w:val="00E8163D"/>
    <w:rPr>
      <w:rFonts w:ascii="Verdana" w:eastAsiaTheme="minorHAnsi" w:hAnsi="Verdana" w:cstheme="majorBidi"/>
      <w:color w:val="000000" w:themeColor="text1"/>
      <w:lang w:val="en-GB"/>
    </w:rPr>
  </w:style>
  <w:style w:type="paragraph" w:styleId="Heading1">
    <w:name w:val="heading 1"/>
    <w:basedOn w:val="Normal"/>
    <w:next w:val="Normal"/>
    <w:link w:val="Heading1Char"/>
    <w:uiPriority w:val="9"/>
    <w:qFormat/>
    <w:rsid w:val="00E8163D"/>
    <w:pPr>
      <w:keepNext/>
      <w:keepLines/>
      <w:spacing w:before="480"/>
      <w:outlineLvl w:val="0"/>
    </w:pPr>
    <w:rPr>
      <w:rFonts w:asciiTheme="majorHAnsi" w:eastAsiaTheme="majorEastAsia" w:hAnsiTheme="majorHAnsi"/>
      <w:b/>
      <w:bCs/>
      <w:color w:val="345A8A" w:themeColor="accent1" w:themeShade="B5"/>
      <w:sz w:val="32"/>
      <w:szCs w:val="32"/>
    </w:rPr>
  </w:style>
  <w:style w:type="paragraph" w:styleId="Heading2">
    <w:name w:val="heading 2"/>
    <w:next w:val="WMOBodyText"/>
    <w:link w:val="Heading2Char"/>
    <w:uiPriority w:val="9"/>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uiPriority w:val="9"/>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uiPriority w:val="9"/>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uiPriority w:val="9"/>
    <w:qFormat/>
    <w:rsid w:val="00C13EEC"/>
    <w:pPr>
      <w:tabs>
        <w:tab w:val="left" w:pos="1080"/>
      </w:tabs>
      <w:spacing w:before="240"/>
      <w:ind w:left="1080" w:hanging="1080"/>
      <w:outlineLvl w:val="4"/>
    </w:pPr>
    <w:rPr>
      <w:bCs/>
      <w:i/>
      <w:iCs/>
      <w:szCs w:val="22"/>
    </w:rPr>
  </w:style>
  <w:style w:type="paragraph" w:styleId="Heading6">
    <w:name w:val="heading 6"/>
    <w:basedOn w:val="Normal"/>
    <w:next w:val="Normal"/>
    <w:link w:val="Heading6Char"/>
    <w:uiPriority w:val="9"/>
    <w:qFormat/>
    <w:rsid w:val="00C13EEC"/>
    <w:pPr>
      <w:keepNext/>
      <w:widowControl w:val="0"/>
      <w:tabs>
        <w:tab w:val="center" w:pos="4513"/>
      </w:tabs>
      <w:suppressAutoHyphens/>
      <w:jc w:val="center"/>
      <w:outlineLvl w:val="5"/>
    </w:pPr>
    <w:rPr>
      <w:b/>
      <w:snapToGrid w:val="0"/>
      <w:spacing w:val="-2"/>
    </w:rPr>
  </w:style>
  <w:style w:type="paragraph" w:styleId="Heading7">
    <w:name w:val="heading 7"/>
    <w:basedOn w:val="Normal"/>
    <w:next w:val="Normal"/>
    <w:link w:val="Heading7Char"/>
    <w:uiPriority w:val="9"/>
    <w:qFormat/>
    <w:rsid w:val="00C13EEC"/>
    <w:pPr>
      <w:keepNext/>
      <w:tabs>
        <w:tab w:val="left" w:pos="-722"/>
        <w:tab w:val="left" w:pos="1140"/>
        <w:tab w:val="left" w:pos="6946"/>
      </w:tabs>
      <w:suppressAutoHyphens/>
      <w:spacing w:line="252" w:lineRule="auto"/>
      <w:outlineLvl w:val="6"/>
    </w:pPr>
    <w:rPr>
      <w:b/>
      <w:bCs/>
      <w:color w:val="4436AA"/>
      <w:spacing w:val="-2"/>
      <w:sz w:val="28"/>
      <w:szCs w:val="22"/>
    </w:rPr>
  </w:style>
  <w:style w:type="paragraph" w:styleId="Heading8">
    <w:name w:val="heading 8"/>
    <w:basedOn w:val="Normal"/>
    <w:next w:val="Normal"/>
    <w:link w:val="Heading8Char"/>
    <w:uiPriority w:val="9"/>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MOBodyText">
    <w:name w:val="WMO_BodyText"/>
    <w:link w:val="WMOBodyTextCharChar"/>
    <w:uiPriority w:val="1"/>
    <w:qFormat/>
    <w:rsid w:val="00C4470F"/>
    <w:pPr>
      <w:spacing w:before="240"/>
    </w:pPr>
    <w:rPr>
      <w:rFonts w:ascii="Verdana" w:eastAsia="Verdana" w:hAnsi="Verdana" w:cs="Verdana"/>
      <w:lang w:val="en-GB"/>
    </w:rPr>
  </w:style>
  <w:style w:type="character" w:customStyle="1" w:styleId="WMOBodyTextCharChar">
    <w:name w:val="WMO_BodyText Char Char"/>
    <w:basedOn w:val="DefaultParagraphFont"/>
    <w:link w:val="WMOBodyText"/>
    <w:uiPriority w:val="1"/>
    <w:rsid w:val="00C4470F"/>
    <w:rPr>
      <w:rFonts w:ascii="Verdana" w:eastAsia="Verdana" w:hAnsi="Verdana" w:cs="Verdana"/>
      <w:lang w:val="en-GB"/>
    </w:rPr>
  </w:style>
  <w:style w:type="character" w:customStyle="1" w:styleId="Heading1Char">
    <w:name w:val="Heading 1 Char"/>
    <w:basedOn w:val="DefaultParagraphFont"/>
    <w:link w:val="Heading1"/>
    <w:uiPriority w:val="9"/>
    <w:rsid w:val="00E8163D"/>
    <w:rPr>
      <w:rFonts w:asciiTheme="majorHAnsi" w:eastAsiaTheme="majorEastAsia" w:hAnsiTheme="majorHAnsi" w:cstheme="majorBidi"/>
      <w:b/>
      <w:bCs/>
      <w:color w:val="345A8A" w:themeColor="accent1" w:themeShade="B5"/>
      <w:sz w:val="32"/>
      <w:szCs w:val="32"/>
      <w:lang w:val="fr-FR"/>
    </w:rPr>
  </w:style>
  <w:style w:type="character" w:customStyle="1" w:styleId="Heading2Char">
    <w:name w:val="Heading 2 Char"/>
    <w:link w:val="Heading2"/>
    <w:uiPriority w:val="9"/>
    <w:locked/>
    <w:rsid w:val="001D3CFB"/>
    <w:rPr>
      <w:rFonts w:ascii="Verdana" w:eastAsia="Verdana" w:hAnsi="Verdana" w:cs="Verdana"/>
      <w:b/>
      <w:bCs/>
      <w:iCs/>
      <w:sz w:val="22"/>
      <w:szCs w:val="22"/>
      <w:lang w:val="en-GB"/>
    </w:rPr>
  </w:style>
  <w:style w:type="character" w:customStyle="1" w:styleId="Heading3Char">
    <w:name w:val="Heading 3 Char"/>
    <w:basedOn w:val="DefaultParagraphFont"/>
    <w:link w:val="Heading3"/>
    <w:uiPriority w:val="9"/>
    <w:rsid w:val="008410C9"/>
    <w:rPr>
      <w:rFonts w:ascii="Verdana" w:eastAsia="Verdana" w:hAnsi="Verdana" w:cs="Verdana"/>
      <w:b/>
      <w:bCs/>
      <w:lang w:val="en-GB"/>
    </w:rPr>
  </w:style>
  <w:style w:type="character" w:customStyle="1" w:styleId="Heading4Char">
    <w:name w:val="Heading 4 Char"/>
    <w:basedOn w:val="DefaultParagraphFont"/>
    <w:link w:val="Heading4"/>
    <w:uiPriority w:val="9"/>
    <w:rsid w:val="00A530E4"/>
    <w:rPr>
      <w:rFonts w:ascii="Verdana" w:eastAsia="Verdana" w:hAnsi="Verdana" w:cs="Verdana"/>
      <w:b/>
      <w:i/>
      <w:lang w:val="en-GB"/>
    </w:rPr>
  </w:style>
  <w:style w:type="character" w:customStyle="1" w:styleId="Heading5Char">
    <w:name w:val="Heading 5 Char"/>
    <w:basedOn w:val="DefaultParagraphFont"/>
    <w:link w:val="Heading5"/>
    <w:uiPriority w:val="9"/>
    <w:rsid w:val="008410C9"/>
    <w:rPr>
      <w:rFonts w:ascii="Verdana" w:eastAsia="Arial" w:hAnsi="Verdana" w:cs="Arial"/>
      <w:bCs/>
      <w:i/>
      <w:iCs/>
      <w:szCs w:val="22"/>
      <w:lang w:val="en-GB"/>
    </w:rPr>
  </w:style>
  <w:style w:type="character" w:customStyle="1" w:styleId="Heading6Char">
    <w:name w:val="Heading 6 Char"/>
    <w:basedOn w:val="DefaultParagraphFont"/>
    <w:link w:val="Heading6"/>
    <w:uiPriority w:val="9"/>
    <w:rsid w:val="008410C9"/>
    <w:rPr>
      <w:rFonts w:ascii="Verdana" w:eastAsia="Arial" w:hAnsi="Verdana" w:cs="Arial"/>
      <w:b/>
      <w:snapToGrid w:val="0"/>
      <w:spacing w:val="-2"/>
      <w:lang w:val="en-GB"/>
    </w:rPr>
  </w:style>
  <w:style w:type="character" w:customStyle="1" w:styleId="Heading7Char">
    <w:name w:val="Heading 7 Char"/>
    <w:basedOn w:val="DefaultParagraphFont"/>
    <w:link w:val="Heading7"/>
    <w:uiPriority w:val="9"/>
    <w:rsid w:val="008410C9"/>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uiPriority w:val="9"/>
    <w:rsid w:val="008410C9"/>
    <w:rPr>
      <w:rFonts w:eastAsia="Arial"/>
      <w:i/>
      <w:iCs/>
      <w:sz w:val="24"/>
      <w:szCs w:val="24"/>
      <w:lang w:val="en-GB" w:eastAsia="en-US"/>
    </w:rPr>
  </w:style>
  <w:style w:type="character" w:customStyle="1" w:styleId="Heading9Char">
    <w:name w:val="Heading 9 Char"/>
    <w:basedOn w:val="DefaultParagraphFont"/>
    <w:link w:val="Heading9"/>
    <w:uiPriority w:val="9"/>
    <w:rsid w:val="008410C9"/>
    <w:rPr>
      <w:rFonts w:ascii="Verdana" w:eastAsia="Arial" w:hAnsi="Verdana" w:cs="Arial"/>
      <w:szCs w:val="22"/>
      <w:lang w:val="en-GB" w:eastAsia="en-US"/>
    </w:rPr>
  </w:style>
  <w:style w:type="paragraph" w:styleId="Header">
    <w:name w:val="header"/>
    <w:basedOn w:val="Normal"/>
    <w:link w:val="HeaderChar"/>
    <w:unhideWhenUsed/>
    <w:rsid w:val="00E8163D"/>
    <w:pPr>
      <w:tabs>
        <w:tab w:val="center" w:pos="4680"/>
        <w:tab w:val="right" w:pos="9360"/>
      </w:tabs>
    </w:pPr>
  </w:style>
  <w:style w:type="character" w:customStyle="1" w:styleId="HeaderChar">
    <w:name w:val="Header Char"/>
    <w:basedOn w:val="DefaultParagraphFont"/>
    <w:link w:val="Header"/>
    <w:uiPriority w:val="99"/>
    <w:rsid w:val="00E8163D"/>
    <w:rPr>
      <w:rFonts w:ascii="Verdana" w:eastAsiaTheme="minorHAnsi" w:hAnsi="Verdana" w:cstheme="majorBidi"/>
      <w:color w:val="000000" w:themeColor="text1"/>
      <w:lang w:val="fr-FR"/>
    </w:rPr>
  </w:style>
  <w:style w:type="paragraph" w:styleId="BlockText">
    <w:name w:val="Block Text"/>
    <w:basedOn w:val="Normal"/>
    <w:uiPriority w:val="1"/>
    <w:rsid w:val="008A71EB"/>
    <w:pPr>
      <w:ind w:left="567" w:right="566"/>
    </w:pPr>
    <w:rPr>
      <w:rFonts w:ascii="Univers" w:hAnsi="Univers"/>
      <w:sz w:val="21"/>
    </w:rPr>
  </w:style>
  <w:style w:type="paragraph" w:customStyle="1" w:styleId="CrossTitle12">
    <w:name w:val="***Cross_Title_12"/>
    <w:basedOn w:val="Normal"/>
    <w:uiPriority w:val="1"/>
    <w:rsid w:val="008A71EB"/>
    <w:pPr>
      <w:jc w:val="center"/>
    </w:pPr>
    <w:rPr>
      <w:rFonts w:eastAsia="SimSun"/>
      <w:b/>
      <w:bCs/>
      <w:sz w:val="24"/>
      <w:szCs w:val="24"/>
      <w:lang w:val="fr-CH" w:eastAsia="zh-CN"/>
    </w:rPr>
  </w:style>
  <w:style w:type="paragraph" w:customStyle="1" w:styleId="Service9">
    <w:name w:val="Service 9"/>
    <w:uiPriority w:val="1"/>
    <w:rsid w:val="008A71EB"/>
    <w:pPr>
      <w:jc w:val="center"/>
    </w:pPr>
    <w:rPr>
      <w:rFonts w:ascii="Arial" w:eastAsia="Times New Roman" w:hAnsi="Arial"/>
      <w:sz w:val="18"/>
      <w:lang w:val="en-GB" w:eastAsia="en-US"/>
    </w:rPr>
  </w:style>
  <w:style w:type="character" w:styleId="Hyperlink">
    <w:name w:val="Hyperlink"/>
    <w:basedOn w:val="DefaultParagraphFont"/>
    <w:rsid w:val="00E8163D"/>
    <w:rPr>
      <w:color w:val="0000FF" w:themeColor="hyperlink"/>
      <w:u w:val="none"/>
    </w:rPr>
  </w:style>
  <w:style w:type="character" w:styleId="PageNumber">
    <w:name w:val="page number"/>
    <w:basedOn w:val="DefaultParagraphFont"/>
    <w:rsid w:val="008A71EB"/>
  </w:style>
  <w:style w:type="paragraph" w:styleId="TOC4">
    <w:name w:val="toc 4"/>
    <w:basedOn w:val="Normal"/>
    <w:next w:val="Normal"/>
    <w:autoRedefine/>
    <w:uiPriority w:val="1"/>
    <w:semiHidden/>
    <w:rsid w:val="006A5514"/>
    <w:pPr>
      <w:ind w:left="660"/>
    </w:pPr>
  </w:style>
  <w:style w:type="paragraph" w:customStyle="1" w:styleId="CrossTitle14">
    <w:name w:val="***Cross_Title_14"/>
    <w:basedOn w:val="Normal"/>
    <w:uiPriority w:val="1"/>
    <w:rsid w:val="008A71EB"/>
    <w:pPr>
      <w:keepNext/>
      <w:tabs>
        <w:tab w:val="left" w:pos="1140"/>
      </w:tabs>
      <w:spacing w:after="100"/>
      <w:jc w:val="center"/>
    </w:pPr>
    <w:rPr>
      <w:rFonts w:eastAsia="SimSun"/>
      <w:b/>
      <w:sz w:val="28"/>
      <w:szCs w:val="28"/>
      <w:lang w:val="fr-CH" w:eastAsia="zh-CN"/>
    </w:rPr>
  </w:style>
  <w:style w:type="paragraph" w:styleId="Footer">
    <w:name w:val="footer"/>
    <w:basedOn w:val="Normal"/>
    <w:link w:val="FooterChar"/>
    <w:uiPriority w:val="99"/>
    <w:unhideWhenUsed/>
    <w:rsid w:val="00E8163D"/>
    <w:pPr>
      <w:tabs>
        <w:tab w:val="center" w:pos="4680"/>
        <w:tab w:val="right" w:pos="9360"/>
      </w:tabs>
    </w:pPr>
  </w:style>
  <w:style w:type="character" w:customStyle="1" w:styleId="FooterChar">
    <w:name w:val="Footer Char"/>
    <w:basedOn w:val="DefaultParagraphFont"/>
    <w:link w:val="Footer"/>
    <w:uiPriority w:val="99"/>
    <w:rsid w:val="00E8163D"/>
    <w:rPr>
      <w:rFonts w:ascii="Verdana" w:eastAsiaTheme="minorHAnsi" w:hAnsi="Verdana" w:cstheme="majorBidi"/>
      <w:color w:val="000000" w:themeColor="text1"/>
      <w:lang w:val="fr-FR"/>
    </w:rPr>
  </w:style>
  <w:style w:type="paragraph" w:styleId="BalloonText">
    <w:name w:val="Balloon Text"/>
    <w:basedOn w:val="Normal"/>
    <w:link w:val="BalloonTextChar"/>
    <w:uiPriority w:val="99"/>
    <w:semiHidden/>
    <w:unhideWhenUsed/>
    <w:rsid w:val="00E816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163D"/>
    <w:rPr>
      <w:rFonts w:ascii="Lucida Grande" w:eastAsiaTheme="minorHAnsi" w:hAnsi="Lucida Grande" w:cs="Lucida Grande"/>
      <w:color w:val="000000" w:themeColor="text1"/>
      <w:sz w:val="18"/>
      <w:szCs w:val="18"/>
      <w:lang w:val="fr-FR"/>
    </w:rPr>
  </w:style>
  <w:style w:type="paragraph" w:styleId="DocumentMap">
    <w:name w:val="Document Map"/>
    <w:basedOn w:val="Normal"/>
    <w:link w:val="DocumentMapChar"/>
    <w:uiPriority w:val="99"/>
    <w:semiHidden/>
    <w:unhideWhenUsed/>
    <w:rsid w:val="00E8163D"/>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8163D"/>
    <w:rPr>
      <w:rFonts w:ascii="Lucida Grande" w:eastAsiaTheme="minorHAnsi" w:hAnsi="Lucida Grande" w:cs="Lucida Grande"/>
      <w:color w:val="000000" w:themeColor="text1"/>
      <w:sz w:val="24"/>
      <w:szCs w:val="24"/>
      <w:lang w:val="fr-FR"/>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uiPriority w:val="1"/>
    <w:rsid w:val="004D497E"/>
    <w:pPr>
      <w:spacing w:before="280"/>
      <w:ind w:left="0" w:firstLine="0"/>
    </w:pPr>
  </w:style>
  <w:style w:type="paragraph" w:customStyle="1" w:styleId="Comment">
    <w:name w:val="Comment"/>
    <w:basedOn w:val="Normal"/>
    <w:next w:val="WMOBodyText"/>
    <w:link w:val="CommentChar"/>
    <w:uiPriority w:val="1"/>
    <w:rsid w:val="000C225A"/>
    <w:pPr>
      <w:spacing w:before="240"/>
    </w:pPr>
    <w:rPr>
      <w:i/>
      <w:szCs w:val="22"/>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paragraph" w:customStyle="1" w:styleId="CharCharCharChar">
    <w:name w:val="Char Char Char Char"/>
    <w:basedOn w:val="Normal"/>
    <w:uiPriority w:val="1"/>
    <w:rsid w:val="00480313"/>
    <w:rPr>
      <w:rFonts w:ascii="Times New Roman" w:hAnsi="Times New Roman"/>
      <w:sz w:val="24"/>
      <w:szCs w:val="24"/>
      <w:lang w:val="pl-PL" w:eastAsia="pl-PL"/>
    </w:rPr>
  </w:style>
  <w:style w:type="paragraph" w:customStyle="1" w:styleId="CharChar">
    <w:name w:val="Знак Знак Char Char"/>
    <w:basedOn w:val="Normal"/>
    <w:uiPriority w:val="1"/>
    <w:rsid w:val="000B5E64"/>
    <w:rPr>
      <w:rFonts w:ascii="Times New Roman" w:hAnsi="Times New Roman"/>
      <w:sz w:val="24"/>
      <w:szCs w:val="24"/>
      <w:lang w:val="pl-PL" w:eastAsia="pl-PL"/>
    </w:rPr>
  </w:style>
  <w:style w:type="paragraph" w:customStyle="1" w:styleId="BodyText0">
    <w:name w:val="BodyText"/>
    <w:basedOn w:val="Normal"/>
    <w:link w:val="BodyTextChar"/>
    <w:uiPriority w:val="1"/>
    <w:rsid w:val="004F49A1"/>
    <w:pPr>
      <w:tabs>
        <w:tab w:val="left" w:pos="1080"/>
      </w:tabs>
      <w:spacing w:before="240"/>
    </w:pPr>
    <w:rPr>
      <w:szCs w:val="22"/>
    </w:rPr>
  </w:style>
  <w:style w:type="character" w:customStyle="1" w:styleId="BodyTextChar">
    <w:name w:val="BodyText Char"/>
    <w:basedOn w:val="DefaultParagraphFont"/>
    <w:link w:val="BodyText0"/>
    <w:rsid w:val="004F49A1"/>
    <w:rPr>
      <w:rFonts w:ascii="Arial" w:eastAsia="Arial" w:hAnsi="Arial" w:cs="Arial"/>
      <w:sz w:val="22"/>
      <w:szCs w:val="22"/>
      <w:lang w:val="en-GB" w:eastAsia="en-US" w:bidi="ar-SA"/>
    </w:rPr>
  </w:style>
  <w:style w:type="paragraph" w:customStyle="1" w:styleId="WMOSubTitle2">
    <w:name w:val="WMO_SubTitle2"/>
    <w:basedOn w:val="Heading5"/>
    <w:next w:val="WMOBodyText"/>
    <w:uiPriority w:val="1"/>
    <w:rsid w:val="00A530E4"/>
    <w:pPr>
      <w:keepNext/>
      <w:keepLines/>
      <w:tabs>
        <w:tab w:val="clear" w:pos="1080"/>
      </w:tabs>
      <w:spacing w:before="280"/>
      <w:ind w:left="0" w:firstLine="0"/>
    </w:pPr>
    <w:rPr>
      <w:rFonts w:eastAsia="Verdana" w:cs="Verdana"/>
      <w:szCs w:val="20"/>
    </w:rPr>
  </w:style>
  <w:style w:type="paragraph" w:styleId="BodyText1">
    <w:name w:val="Body Text"/>
    <w:basedOn w:val="Normal"/>
    <w:link w:val="BodyTextChar0"/>
    <w:uiPriority w:val="1"/>
    <w:rsid w:val="00831751"/>
    <w:pPr>
      <w:tabs>
        <w:tab w:val="left" w:pos="1140"/>
      </w:tabs>
      <w:jc w:val="center"/>
    </w:pPr>
    <w:rPr>
      <w:rFonts w:eastAsia="SimSun"/>
      <w:b/>
      <w:bCs/>
      <w:sz w:val="24"/>
      <w:szCs w:val="24"/>
      <w:lang w:eastAsia="zh-CN"/>
    </w:rPr>
  </w:style>
  <w:style w:type="character" w:customStyle="1" w:styleId="BodyTextChar0">
    <w:name w:val="Body Text Char"/>
    <w:basedOn w:val="DefaultParagraphFont"/>
    <w:link w:val="BodyText1"/>
    <w:uiPriority w:val="1"/>
    <w:rsid w:val="006F4B29"/>
    <w:rPr>
      <w:rFonts w:ascii="Verdana" w:eastAsia="SimSun" w:hAnsi="Verdana" w:cs="Arial"/>
      <w:b/>
      <w:bCs/>
      <w:sz w:val="24"/>
      <w:szCs w:val="24"/>
      <w:lang w:val="en-GB" w:eastAsia="zh-CN"/>
    </w:rPr>
  </w:style>
  <w:style w:type="character" w:styleId="FootnoteReference">
    <w:name w:val="footnote reference"/>
    <w:basedOn w:val="DefaultParagraphFont"/>
    <w:uiPriority w:val="99"/>
    <w:rsid w:val="00E8163D"/>
    <w:rPr>
      <w:vertAlign w:val="superscript"/>
    </w:rPr>
  </w:style>
  <w:style w:type="paragraph" w:customStyle="1" w:styleId="ECBodyText-Centred">
    <w:name w:val="EC_BodyText-Centred"/>
    <w:basedOn w:val="WMOBodyText"/>
    <w:next w:val="WMOBodyText"/>
    <w:uiPriority w:val="1"/>
    <w:rsid w:val="00415F4C"/>
    <w:pPr>
      <w:jc w:val="center"/>
    </w:pPr>
  </w:style>
  <w:style w:type="paragraph" w:styleId="FootnoteText">
    <w:name w:val="footnote text"/>
    <w:basedOn w:val="Normal"/>
    <w:link w:val="FootnoteTextChar"/>
    <w:uiPriority w:val="99"/>
    <w:rsid w:val="00E8163D"/>
    <w:rPr>
      <w:sz w:val="16"/>
    </w:rPr>
  </w:style>
  <w:style w:type="character" w:customStyle="1" w:styleId="FootnoteTextChar">
    <w:name w:val="Footnote Text Char"/>
    <w:basedOn w:val="DefaultParagraphFont"/>
    <w:link w:val="FootnoteText"/>
    <w:uiPriority w:val="99"/>
    <w:rsid w:val="00E8163D"/>
    <w:rPr>
      <w:rFonts w:ascii="Verdana" w:eastAsiaTheme="minorHAnsi" w:hAnsi="Verdana" w:cstheme="majorBidi"/>
      <w:color w:val="000000" w:themeColor="text1"/>
      <w:sz w:val="16"/>
      <w:lang w:val="fr-FR"/>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semiHidden/>
    <w:rsid w:val="00DD35CC"/>
  </w:style>
  <w:style w:type="character" w:customStyle="1" w:styleId="CommentTextChar">
    <w:name w:val="Comment Text Char"/>
    <w:basedOn w:val="DefaultParagraphFont"/>
    <w:link w:val="CommentText"/>
    <w:uiPriority w:val="99"/>
    <w:semiHidden/>
    <w:rsid w:val="008410C9"/>
    <w:rPr>
      <w:rFonts w:ascii="Verdana" w:eastAsia="Arial" w:hAnsi="Verdana" w:cs="Arial"/>
      <w:lang w:val="en-GB" w:eastAsia="en-US"/>
    </w:rPr>
  </w:style>
  <w:style w:type="paragraph" w:styleId="CommentSubject">
    <w:name w:val="annotation subject"/>
    <w:basedOn w:val="CommentText"/>
    <w:next w:val="CommentText"/>
    <w:link w:val="CommentSubjectChar"/>
    <w:uiPriority w:val="99"/>
    <w:semiHidden/>
    <w:rsid w:val="00DD35CC"/>
    <w:rPr>
      <w:b/>
      <w:bCs/>
    </w:rPr>
  </w:style>
  <w:style w:type="character" w:customStyle="1" w:styleId="CommentSubjectChar">
    <w:name w:val="Comment Subject Char"/>
    <w:basedOn w:val="CommentTextChar"/>
    <w:link w:val="CommentSubject"/>
    <w:uiPriority w:val="99"/>
    <w:semiHidden/>
    <w:rsid w:val="008410C9"/>
    <w:rPr>
      <w:rFonts w:ascii="Verdana" w:eastAsia="Arial" w:hAnsi="Verdana" w:cs="Arial"/>
      <w:b/>
      <w:bCs/>
      <w:lang w:val="en-GB" w:eastAsia="en-US"/>
    </w:rPr>
  </w:style>
  <w:style w:type="paragraph" w:customStyle="1" w:styleId="ECBox">
    <w:name w:val="EC_Box"/>
    <w:basedOn w:val="WMOBodyText"/>
    <w:next w:val="WMOBodyText"/>
    <w:uiPriority w:val="1"/>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uiPriority w:val="1"/>
    <w:rsid w:val="00C13EEC"/>
  </w:style>
  <w:style w:type="paragraph" w:styleId="Title">
    <w:name w:val="Title"/>
    <w:basedOn w:val="Normal"/>
    <w:link w:val="TitleChar"/>
    <w:uiPriority w:val="10"/>
    <w:qFormat/>
    <w:rsid w:val="0028006F"/>
    <w:pPr>
      <w:spacing w:before="240" w:after="60"/>
      <w:jc w:val="center"/>
      <w:outlineLvl w:val="0"/>
    </w:pPr>
    <w:rPr>
      <w:b/>
      <w:bCs/>
      <w:kern w:val="28"/>
      <w:sz w:val="32"/>
      <w:szCs w:val="32"/>
    </w:rPr>
  </w:style>
  <w:style w:type="character" w:customStyle="1" w:styleId="TitleChar">
    <w:name w:val="Title Char"/>
    <w:basedOn w:val="DefaultParagraphFont"/>
    <w:link w:val="Title"/>
    <w:uiPriority w:val="10"/>
    <w:rsid w:val="008410C9"/>
    <w:rPr>
      <w:rFonts w:ascii="Verdana" w:eastAsia="Arial" w:hAnsi="Verdana" w:cs="Arial"/>
      <w:b/>
      <w:bCs/>
      <w:kern w:val="28"/>
      <w:sz w:val="32"/>
      <w:szCs w:val="32"/>
      <w:lang w:val="en-GB" w:eastAsia="en-US"/>
    </w:rPr>
  </w:style>
  <w:style w:type="paragraph" w:customStyle="1" w:styleId="ECBodyText">
    <w:name w:val="EC_BodyText"/>
    <w:basedOn w:val="Normal"/>
    <w:link w:val="ECBodyTextChar"/>
    <w:uiPriority w:val="1"/>
    <w:rsid w:val="00E60546"/>
    <w:pPr>
      <w:tabs>
        <w:tab w:val="left" w:pos="1080"/>
      </w:tabs>
      <w:spacing w:before="240"/>
    </w:pPr>
    <w:rPr>
      <w:rFonts w:eastAsia="Times New Roman"/>
      <w:szCs w:val="22"/>
    </w:rPr>
  </w:style>
  <w:style w:type="character" w:customStyle="1" w:styleId="ECBodyTextChar">
    <w:name w:val="EC_BodyText Char"/>
    <w:basedOn w:val="DefaultParagraphFont"/>
    <w:link w:val="ECBodyText"/>
    <w:uiPriority w:val="1"/>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uiPriority w:val="1"/>
    <w:rsid w:val="00CF399D"/>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val="0"/>
      <w:color w:val="345A8A" w:themeColor="accent1" w:themeShade="B5"/>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uiPriority w:val="1"/>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val="0"/>
      <w:color w:val="345A8A" w:themeColor="accent1" w:themeShade="B5"/>
      <w:kern w:val="32"/>
      <w:sz w:val="28"/>
      <w:szCs w:val="32"/>
      <w:lang w:val="en-GB" w:eastAsia="en-US" w:bidi="ar-SA"/>
    </w:rPr>
  </w:style>
  <w:style w:type="table" w:styleId="TableGrid">
    <w:name w:val="Table Grid"/>
    <w:basedOn w:val="TableNormal"/>
    <w:rsid w:val="00E8163D"/>
    <w:rPr>
      <w:rFonts w:ascii="Verdana" w:eastAsiaTheme="minorEastAsia" w:hAnsi="Verdana"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1"/>
    <w:rsid w:val="0028778B"/>
    <w:rPr>
      <w:color w:val="808080"/>
      <w:sz w:val="20"/>
    </w:rPr>
  </w:style>
  <w:style w:type="paragraph" w:customStyle="1" w:styleId="Heading2Centered">
    <w:name w:val="Heading 2 + Centered"/>
    <w:aliases w:val="Before:  0 cm,First line:  0 cm + Not All caps"/>
    <w:basedOn w:val="Heading2"/>
    <w:link w:val="Heading2CenteredChar"/>
    <w:uiPriority w:val="1"/>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paragraph" w:customStyle="1" w:styleId="WMOTOC2">
    <w:name w:val="WMO_TOC2"/>
    <w:basedOn w:val="TOC2"/>
    <w:next w:val="Normal"/>
    <w:uiPriority w:val="1"/>
    <w:qFormat/>
    <w:rsid w:val="00B165E6"/>
    <w:pPr>
      <w:tabs>
        <w:tab w:val="left" w:pos="851"/>
        <w:tab w:val="right" w:leader="dot" w:pos="9639"/>
      </w:tabs>
      <w:spacing w:before="360" w:after="120"/>
      <w:ind w:left="851" w:right="567" w:hanging="851"/>
    </w:pPr>
    <w:rPr>
      <w:rFonts w:eastAsia="MS Mincho"/>
      <w:b/>
      <w:smallCaps/>
      <w:noProof/>
      <w:szCs w:val="22"/>
    </w:rPr>
  </w:style>
  <w:style w:type="paragraph" w:customStyle="1" w:styleId="WMOTOC1">
    <w:name w:val="WMO_TOC1"/>
    <w:basedOn w:val="TOC1"/>
    <w:next w:val="WMOTOC2"/>
    <w:uiPriority w:val="1"/>
    <w:qFormat/>
    <w:rsid w:val="00B165E6"/>
    <w:pPr>
      <w:spacing w:before="120" w:after="120"/>
    </w:pPr>
    <w:rPr>
      <w:rFonts w:eastAsia="MS Mincho"/>
      <w:b/>
      <w:smallCaps/>
      <w:noProof/>
      <w:szCs w:val="22"/>
    </w:rPr>
  </w:style>
  <w:style w:type="paragraph" w:customStyle="1" w:styleId="WMOTOC3">
    <w:name w:val="WMO_TOC3"/>
    <w:basedOn w:val="TOC3"/>
    <w:uiPriority w:val="1"/>
    <w:qFormat/>
    <w:rsid w:val="00B165E6"/>
    <w:pPr>
      <w:tabs>
        <w:tab w:val="left" w:pos="851"/>
        <w:tab w:val="left" w:pos="1100"/>
        <w:tab w:val="right" w:leader="dot" w:pos="9639"/>
      </w:tabs>
      <w:spacing w:before="240" w:after="120"/>
      <w:ind w:left="851" w:right="567" w:hanging="851"/>
    </w:pPr>
    <w:rPr>
      <w:rFonts w:eastAsia="MS Mincho"/>
      <w:iCs/>
      <w:noProof/>
      <w:szCs w:val="22"/>
    </w:rPr>
  </w:style>
  <w:style w:type="character" w:styleId="PlaceholderText">
    <w:name w:val="Placeholder Text"/>
    <w:basedOn w:val="DefaultParagraphFont"/>
    <w:uiPriority w:val="99"/>
    <w:rsid w:val="00BD5420"/>
    <w:rPr>
      <w:color w:val="808080"/>
    </w:rPr>
  </w:style>
  <w:style w:type="paragraph" w:customStyle="1" w:styleId="WMOIndent1">
    <w:name w:val="WMO_Indent1"/>
    <w:basedOn w:val="WMOBodyText"/>
    <w:uiPriority w:val="1"/>
    <w:rsid w:val="00814CC6"/>
    <w:pPr>
      <w:tabs>
        <w:tab w:val="left" w:pos="567"/>
      </w:tabs>
      <w:ind w:left="567" w:hanging="567"/>
    </w:pPr>
    <w:rPr>
      <w:rFonts w:eastAsia="Times New Roman" w:cs="Times New Roman"/>
    </w:rPr>
  </w:style>
  <w:style w:type="paragraph" w:customStyle="1" w:styleId="WMOIndent2">
    <w:name w:val="WMO_Indent2"/>
    <w:basedOn w:val="WMOIndent1"/>
    <w:uiPriority w:val="1"/>
    <w:rsid w:val="00814CC6"/>
    <w:pPr>
      <w:tabs>
        <w:tab w:val="clear" w:pos="567"/>
        <w:tab w:val="left" w:pos="1134"/>
      </w:tabs>
      <w:ind w:left="1134"/>
    </w:pPr>
  </w:style>
  <w:style w:type="paragraph" w:customStyle="1" w:styleId="WMOIndent3">
    <w:name w:val="WMO_Indent3"/>
    <w:basedOn w:val="WMOIndent2"/>
    <w:uiPriority w:val="1"/>
    <w:rsid w:val="00814CC6"/>
    <w:pPr>
      <w:tabs>
        <w:tab w:val="clear" w:pos="1134"/>
        <w:tab w:val="left" w:pos="1701"/>
      </w:tabs>
      <w:ind w:left="1701"/>
    </w:pPr>
  </w:style>
  <w:style w:type="paragraph" w:customStyle="1" w:styleId="WMONote">
    <w:name w:val="WMO_Note"/>
    <w:basedOn w:val="WMOBodyText"/>
    <w:uiPriority w:val="1"/>
    <w:qFormat/>
    <w:rsid w:val="00B62F03"/>
    <w:pPr>
      <w:tabs>
        <w:tab w:val="left" w:pos="1418"/>
      </w:tabs>
      <w:ind w:left="1418" w:hanging="1418"/>
    </w:pPr>
    <w:rPr>
      <w:bCs/>
      <w:sz w:val="18"/>
      <w:szCs w:val="18"/>
    </w:rPr>
  </w:style>
  <w:style w:type="paragraph" w:customStyle="1" w:styleId="WMOIndent4">
    <w:name w:val="WMO_Indent4"/>
    <w:basedOn w:val="WMOIndent3"/>
    <w:uiPriority w:val="1"/>
    <w:qFormat/>
    <w:rsid w:val="00814CC6"/>
    <w:pPr>
      <w:tabs>
        <w:tab w:val="clear" w:pos="1701"/>
        <w:tab w:val="left" w:pos="2268"/>
      </w:tabs>
      <w:ind w:left="2268"/>
    </w:pPr>
  </w:style>
  <w:style w:type="paragraph" w:customStyle="1" w:styleId="WMOComment">
    <w:name w:val="WMO_Comment"/>
    <w:basedOn w:val="WMOBodyText"/>
    <w:next w:val="WMOBodyText"/>
    <w:link w:val="WMOCommentChar"/>
    <w:uiPriority w:val="1"/>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styleId="UnresolvedMention">
    <w:name w:val="Unresolved Mention"/>
    <w:basedOn w:val="DefaultParagraphFont"/>
    <w:uiPriority w:val="99"/>
    <w:semiHidden/>
    <w:unhideWhenUsed/>
    <w:rsid w:val="00790E8F"/>
    <w:rPr>
      <w:color w:val="605E5C"/>
      <w:shd w:val="clear" w:color="auto" w:fill="E1DFDD"/>
    </w:rPr>
  </w:style>
  <w:style w:type="paragraph" w:styleId="Subtitle">
    <w:name w:val="Subtitle"/>
    <w:basedOn w:val="Normal"/>
    <w:next w:val="Normal"/>
    <w:link w:val="SubtitleChar"/>
    <w:uiPriority w:val="11"/>
    <w:qFormat/>
    <w:rsid w:val="008410C9"/>
    <w:pPr>
      <w:numPr>
        <w:ilvl w:val="1"/>
      </w:numPr>
      <w:spacing w:after="160" w:line="259" w:lineRule="auto"/>
    </w:pPr>
    <w:rPr>
      <w:rFonts w:asciiTheme="minorHAnsi" w:eastAsiaTheme="majorEastAsia" w:hAnsiTheme="minorHAnsi" w:cstheme="minorBidi"/>
      <w:i/>
      <w:iCs/>
      <w:color w:val="4F81BD" w:themeColor="accent1"/>
      <w:spacing w:val="15"/>
      <w:sz w:val="24"/>
      <w:szCs w:val="24"/>
    </w:rPr>
  </w:style>
  <w:style w:type="character" w:customStyle="1" w:styleId="SubtitleChar">
    <w:name w:val="Subtitle Char"/>
    <w:basedOn w:val="DefaultParagraphFont"/>
    <w:link w:val="Subtitle"/>
    <w:uiPriority w:val="11"/>
    <w:rsid w:val="008410C9"/>
    <w:rPr>
      <w:rFonts w:asciiTheme="minorHAnsi" w:eastAsiaTheme="majorEastAsia" w:hAnsiTheme="minorHAnsi" w:cstheme="minorBidi"/>
      <w:i/>
      <w:iCs/>
      <w:color w:val="4F81BD" w:themeColor="accent1"/>
      <w:spacing w:val="15"/>
      <w:sz w:val="24"/>
      <w:szCs w:val="24"/>
      <w:lang w:eastAsia="en-US"/>
    </w:rPr>
  </w:style>
  <w:style w:type="paragraph" w:customStyle="1" w:styleId="Bodytextsemibold">
    <w:name w:val="Body text semibold"/>
    <w:basedOn w:val="Normal"/>
    <w:rsid w:val="00E8163D"/>
    <w:pPr>
      <w:tabs>
        <w:tab w:val="left" w:pos="1120"/>
      </w:tabs>
      <w:spacing w:after="240"/>
    </w:pPr>
    <w:rPr>
      <w:b/>
      <w:color w:val="7F7F7F" w:themeColor="text1" w:themeTint="80"/>
    </w:rPr>
  </w:style>
  <w:style w:type="paragraph" w:customStyle="1" w:styleId="Bodytext">
    <w:name w:val="Body_text"/>
    <w:basedOn w:val="Normal"/>
    <w:qFormat/>
    <w:rsid w:val="00E8163D"/>
    <w:pPr>
      <w:tabs>
        <w:tab w:val="left" w:pos="1120"/>
      </w:tabs>
      <w:spacing w:after="240" w:line="240" w:lineRule="exact"/>
    </w:pPr>
    <w:rPr>
      <w:szCs w:val="22"/>
    </w:rPr>
  </w:style>
  <w:style w:type="character" w:customStyle="1" w:styleId="Bold">
    <w:name w:val="Bold"/>
    <w:rsid w:val="00E8163D"/>
    <w:rPr>
      <w:b/>
    </w:rPr>
  </w:style>
  <w:style w:type="character" w:customStyle="1" w:styleId="Bolditalic">
    <w:name w:val="Bold italic"/>
    <w:rsid w:val="00E8163D"/>
    <w:rPr>
      <w:b/>
      <w:i/>
    </w:rPr>
  </w:style>
  <w:style w:type="paragraph" w:customStyle="1" w:styleId="Boxheading">
    <w:name w:val="Box heading"/>
    <w:basedOn w:val="Normal"/>
    <w:rsid w:val="00E8163D"/>
    <w:pPr>
      <w:keepNext/>
      <w:spacing w:line="220" w:lineRule="exact"/>
      <w:jc w:val="center"/>
    </w:pPr>
    <w:rPr>
      <w:b/>
      <w:sz w:val="19"/>
    </w:rPr>
  </w:style>
  <w:style w:type="paragraph" w:customStyle="1" w:styleId="Boxtext">
    <w:name w:val="Box text"/>
    <w:basedOn w:val="Normal"/>
    <w:rsid w:val="00E8163D"/>
    <w:pPr>
      <w:spacing w:before="110" w:line="220" w:lineRule="exact"/>
    </w:pPr>
    <w:rPr>
      <w:sz w:val="19"/>
    </w:rPr>
  </w:style>
  <w:style w:type="paragraph" w:customStyle="1" w:styleId="Boxtextindent">
    <w:name w:val="Box text indent"/>
    <w:basedOn w:val="Boxtext"/>
    <w:rsid w:val="00E8163D"/>
    <w:pPr>
      <w:ind w:left="360" w:hanging="360"/>
    </w:pPr>
  </w:style>
  <w:style w:type="paragraph" w:customStyle="1" w:styleId="Chapterhead">
    <w:name w:val="Chapter head"/>
    <w:qFormat/>
    <w:rsid w:val="00E8163D"/>
    <w:pPr>
      <w:keepNext/>
      <w:spacing w:after="560" w:line="280" w:lineRule="exact"/>
      <w:outlineLvl w:val="2"/>
    </w:pPr>
    <w:rPr>
      <w:rFonts w:ascii="Verdana" w:eastAsia="Arial" w:hAnsi="Verdana" w:cs="Arial"/>
      <w:b/>
      <w:color w:val="000000" w:themeColor="text1"/>
      <w:sz w:val="24"/>
      <w:szCs w:val="22"/>
      <w:lang w:val="en-GB" w:eastAsia="en-US"/>
    </w:rPr>
  </w:style>
  <w:style w:type="paragraph" w:customStyle="1" w:styleId="ChapterheadNOTrunninghead">
    <w:name w:val="Chapter head NOT running head"/>
    <w:rsid w:val="00E8163D"/>
    <w:pPr>
      <w:keepNext/>
      <w:spacing w:after="560" w:line="280" w:lineRule="exact"/>
      <w:outlineLvl w:val="2"/>
    </w:pPr>
    <w:rPr>
      <w:rFonts w:ascii="Verdana" w:eastAsiaTheme="minorHAnsi" w:hAnsi="Verdana" w:cstheme="majorBidi"/>
      <w:b/>
      <w:color w:val="000000" w:themeColor="text1"/>
      <w:sz w:val="24"/>
      <w:lang w:val="en-GB"/>
    </w:rPr>
  </w:style>
  <w:style w:type="paragraph" w:customStyle="1" w:styleId="COVERTITLE">
    <w:name w:val="COVER TITLE"/>
    <w:rsid w:val="00E8163D"/>
    <w:pPr>
      <w:spacing w:before="120" w:after="120" w:line="276" w:lineRule="auto"/>
      <w:outlineLvl w:val="0"/>
    </w:pPr>
    <w:rPr>
      <w:rFonts w:ascii="Verdana" w:eastAsiaTheme="minorHAnsi" w:hAnsi="Verdana" w:cstheme="majorBidi"/>
      <w:b/>
      <w:color w:val="000000" w:themeColor="text1"/>
      <w:sz w:val="36"/>
      <w:lang w:val="en-GB"/>
    </w:rPr>
  </w:style>
  <w:style w:type="paragraph" w:customStyle="1" w:styleId="Definitionsandothers">
    <w:name w:val="Definitions and others"/>
    <w:basedOn w:val="Normal"/>
    <w:rsid w:val="00E8163D"/>
    <w:pPr>
      <w:tabs>
        <w:tab w:val="left" w:pos="480"/>
      </w:tabs>
      <w:spacing w:after="240" w:line="240" w:lineRule="exact"/>
      <w:ind w:left="482" w:hanging="482"/>
    </w:pPr>
  </w:style>
  <w:style w:type="paragraph" w:customStyle="1" w:styleId="Equation">
    <w:name w:val="Equation"/>
    <w:basedOn w:val="Normal"/>
    <w:rsid w:val="00E8163D"/>
    <w:pPr>
      <w:tabs>
        <w:tab w:val="left" w:pos="4360"/>
        <w:tab w:val="right" w:pos="8720"/>
      </w:tabs>
    </w:pPr>
  </w:style>
  <w:style w:type="paragraph" w:customStyle="1" w:styleId="Figurecaption">
    <w:name w:val="Figure caption"/>
    <w:basedOn w:val="Normal"/>
    <w:rsid w:val="00E8163D"/>
    <w:pPr>
      <w:keepNext/>
      <w:spacing w:before="240" w:after="240" w:line="240" w:lineRule="exact"/>
      <w:jc w:val="center"/>
    </w:pPr>
    <w:rPr>
      <w:b/>
      <w:color w:val="7F7F7F" w:themeColor="text1" w:themeTint="80"/>
    </w:rPr>
  </w:style>
  <w:style w:type="paragraph" w:customStyle="1" w:styleId="FigureNOTtaggedcentre">
    <w:name w:val="Figure NOT tagged centre"/>
    <w:basedOn w:val="Normal"/>
    <w:rsid w:val="00E8163D"/>
    <w:pPr>
      <w:jc w:val="center"/>
    </w:pPr>
  </w:style>
  <w:style w:type="paragraph" w:customStyle="1" w:styleId="FigureNOTtaggedleft">
    <w:name w:val="Figure NOT tagged left"/>
    <w:basedOn w:val="Normal"/>
    <w:rsid w:val="00E8163D"/>
  </w:style>
  <w:style w:type="paragraph" w:customStyle="1" w:styleId="FigureNOTtaggedright">
    <w:name w:val="Figure NOT tagged right"/>
    <w:basedOn w:val="Normal"/>
    <w:rsid w:val="00E8163D"/>
    <w:pPr>
      <w:jc w:val="right"/>
    </w:pPr>
  </w:style>
  <w:style w:type="paragraph" w:customStyle="1" w:styleId="Heading10">
    <w:name w:val="Heading_1"/>
    <w:qFormat/>
    <w:rsid w:val="00E8163D"/>
    <w:pPr>
      <w:keepNext/>
      <w:spacing w:before="480" w:after="200" w:line="276" w:lineRule="auto"/>
      <w:ind w:left="1123" w:hanging="1123"/>
      <w:outlineLvl w:val="3"/>
    </w:pPr>
    <w:rPr>
      <w:rFonts w:ascii="Verdana" w:eastAsiaTheme="minorHAnsi" w:hAnsi="Verdana" w:cstheme="majorBidi"/>
      <w:b/>
      <w:bCs/>
      <w:color w:val="000000" w:themeColor="text1"/>
      <w:lang w:val="en-GB"/>
    </w:rPr>
  </w:style>
  <w:style w:type="paragraph" w:customStyle="1" w:styleId="Heading1NOToC">
    <w:name w:val="Heading_1 NO ToC"/>
    <w:basedOn w:val="Normal"/>
    <w:rsid w:val="00E8163D"/>
    <w:pPr>
      <w:keepNext/>
      <w:tabs>
        <w:tab w:val="left" w:pos="1120"/>
      </w:tabs>
      <w:spacing w:before="480" w:after="240" w:line="240" w:lineRule="exact"/>
      <w:ind w:left="1123" w:hanging="1123"/>
      <w:outlineLvl w:val="3"/>
    </w:pPr>
    <w:rPr>
      <w:b/>
    </w:rPr>
  </w:style>
  <w:style w:type="paragraph" w:customStyle="1" w:styleId="Heading20">
    <w:name w:val="Heading_2"/>
    <w:qFormat/>
    <w:rsid w:val="00E8163D"/>
    <w:pPr>
      <w:keepNext/>
      <w:tabs>
        <w:tab w:val="left" w:pos="1120"/>
      </w:tabs>
      <w:spacing w:before="240" w:after="240" w:line="240" w:lineRule="exact"/>
      <w:ind w:left="1123" w:hanging="1123"/>
      <w:outlineLvl w:val="4"/>
    </w:pPr>
    <w:rPr>
      <w:rFonts w:ascii="Verdana" w:eastAsia="Arial" w:hAnsi="Verdana" w:cs="Arial"/>
      <w:b/>
      <w:bCs/>
      <w:color w:val="000000" w:themeColor="text1"/>
      <w:lang w:val="en-GB" w:eastAsia="en-US"/>
    </w:rPr>
  </w:style>
  <w:style w:type="paragraph" w:customStyle="1" w:styleId="Heading30">
    <w:name w:val="Heading_3"/>
    <w:basedOn w:val="Bodytext"/>
    <w:qFormat/>
    <w:rsid w:val="00E8163D"/>
    <w:pPr>
      <w:keepNext/>
      <w:spacing w:before="240"/>
      <w:ind w:left="1123" w:hanging="1123"/>
      <w:outlineLvl w:val="5"/>
    </w:pPr>
    <w:rPr>
      <w:b/>
      <w:i/>
    </w:rPr>
  </w:style>
  <w:style w:type="paragraph" w:customStyle="1" w:styleId="Heading40">
    <w:name w:val="Heading_4"/>
    <w:basedOn w:val="Normal"/>
    <w:rsid w:val="00E8163D"/>
    <w:pPr>
      <w:keepNext/>
      <w:tabs>
        <w:tab w:val="left" w:pos="1120"/>
      </w:tabs>
      <w:spacing w:before="240" w:after="240" w:line="240" w:lineRule="exact"/>
      <w:ind w:left="1123" w:hanging="1123"/>
      <w:outlineLvl w:val="6"/>
    </w:pPr>
    <w:rPr>
      <w:b/>
      <w:color w:val="7F7F7F" w:themeColor="text1" w:themeTint="80"/>
    </w:rPr>
  </w:style>
  <w:style w:type="paragraph" w:customStyle="1" w:styleId="Heading50">
    <w:name w:val="Heading_5"/>
    <w:basedOn w:val="Normal"/>
    <w:rsid w:val="00E8163D"/>
    <w:pPr>
      <w:keepNext/>
      <w:tabs>
        <w:tab w:val="left" w:pos="1120"/>
      </w:tabs>
      <w:spacing w:before="240" w:after="240" w:line="240" w:lineRule="exact"/>
      <w:ind w:left="1123" w:hanging="1123"/>
      <w:outlineLvl w:val="7"/>
    </w:pPr>
    <w:rPr>
      <w:b/>
      <w:i/>
      <w:color w:val="7F7F7F" w:themeColor="text1" w:themeTint="80"/>
    </w:rPr>
  </w:style>
  <w:style w:type="character" w:customStyle="1" w:styleId="Hyperlinkitalic">
    <w:name w:val="Hyperlink italic"/>
    <w:basedOn w:val="Hyperlink"/>
    <w:uiPriority w:val="1"/>
    <w:qFormat/>
    <w:rsid w:val="00E8163D"/>
    <w:rPr>
      <w:i/>
      <w:color w:val="0000FF" w:themeColor="hyperlink"/>
      <w:u w:val="none"/>
    </w:rPr>
  </w:style>
  <w:style w:type="paragraph" w:customStyle="1" w:styleId="Indent1">
    <w:name w:val="Indent 1"/>
    <w:link w:val="Indent1Char"/>
    <w:qFormat/>
    <w:rsid w:val="00E8163D"/>
    <w:pPr>
      <w:tabs>
        <w:tab w:val="left" w:pos="480"/>
      </w:tabs>
      <w:spacing w:after="240" w:line="240" w:lineRule="exact"/>
      <w:ind w:left="480" w:hanging="480"/>
    </w:pPr>
    <w:rPr>
      <w:rFonts w:ascii="Verdana" w:eastAsia="Arial" w:hAnsi="Verdana" w:cs="Arial"/>
      <w:color w:val="000000" w:themeColor="text1"/>
      <w:szCs w:val="22"/>
      <w:lang w:val="en-GB" w:eastAsia="en-US"/>
    </w:rPr>
  </w:style>
  <w:style w:type="character" w:customStyle="1" w:styleId="Indent1Char">
    <w:name w:val="Indent 1 Char"/>
    <w:basedOn w:val="DefaultParagraphFont"/>
    <w:link w:val="Indent1"/>
    <w:rsid w:val="00E8163D"/>
    <w:rPr>
      <w:rFonts w:ascii="Verdana" w:eastAsia="Arial" w:hAnsi="Verdana" w:cs="Arial"/>
      <w:color w:val="000000" w:themeColor="text1"/>
      <w:szCs w:val="22"/>
      <w:lang w:val="en-GB" w:eastAsia="en-US"/>
    </w:rPr>
  </w:style>
  <w:style w:type="paragraph" w:customStyle="1" w:styleId="Indent1NOspaceafter">
    <w:name w:val="Indent 1 NO space after"/>
    <w:basedOn w:val="Indent1"/>
    <w:rsid w:val="00E8163D"/>
    <w:pPr>
      <w:spacing w:after="0"/>
    </w:pPr>
  </w:style>
  <w:style w:type="paragraph" w:customStyle="1" w:styleId="Indent1semibold">
    <w:name w:val="Indent 1 semi bold"/>
    <w:basedOn w:val="Indent1"/>
    <w:qFormat/>
    <w:rsid w:val="00E8163D"/>
    <w:rPr>
      <w:b/>
      <w:color w:val="7F7F7F" w:themeColor="text1" w:themeTint="80"/>
    </w:rPr>
  </w:style>
  <w:style w:type="paragraph" w:customStyle="1" w:styleId="Indent1semiboldNOspaceafter">
    <w:name w:val="Indent 1 semi bold NO space after"/>
    <w:basedOn w:val="Normal"/>
    <w:rsid w:val="00E8163D"/>
    <w:pPr>
      <w:tabs>
        <w:tab w:val="left" w:pos="480"/>
      </w:tabs>
      <w:ind w:left="480" w:hanging="480"/>
    </w:pPr>
    <w:rPr>
      <w:b/>
      <w:color w:val="7F7F7F" w:themeColor="text1" w:themeTint="80"/>
    </w:rPr>
  </w:style>
  <w:style w:type="paragraph" w:customStyle="1" w:styleId="Indent2">
    <w:name w:val="Indent 2"/>
    <w:qFormat/>
    <w:rsid w:val="00E8163D"/>
    <w:pPr>
      <w:tabs>
        <w:tab w:val="left" w:pos="960"/>
      </w:tabs>
      <w:spacing w:after="240" w:line="240" w:lineRule="exact"/>
      <w:ind w:left="960" w:hanging="480"/>
    </w:pPr>
    <w:rPr>
      <w:rFonts w:ascii="Verdana" w:eastAsia="Arial" w:hAnsi="Verdana" w:cs="Arial"/>
      <w:color w:val="000000" w:themeColor="text1"/>
      <w:szCs w:val="22"/>
      <w:lang w:val="en-GB" w:eastAsia="en-US"/>
    </w:rPr>
  </w:style>
  <w:style w:type="paragraph" w:customStyle="1" w:styleId="Indent2NOspaceafter">
    <w:name w:val="Indent 2 NO space after"/>
    <w:basedOn w:val="Indent2"/>
    <w:rsid w:val="00E8163D"/>
    <w:pPr>
      <w:spacing w:after="0"/>
    </w:pPr>
  </w:style>
  <w:style w:type="paragraph" w:customStyle="1" w:styleId="Indent2semibold">
    <w:name w:val="Indent 2 semi bold"/>
    <w:basedOn w:val="Indent2"/>
    <w:qFormat/>
    <w:rsid w:val="00E8163D"/>
    <w:pPr>
      <w:tabs>
        <w:tab w:val="clear" w:pos="960"/>
      </w:tabs>
      <w:ind w:left="1082" w:hanging="600"/>
    </w:pPr>
    <w:rPr>
      <w:b/>
      <w:color w:val="7F7F7F" w:themeColor="text1" w:themeTint="80"/>
    </w:rPr>
  </w:style>
  <w:style w:type="paragraph" w:customStyle="1" w:styleId="Indent2semiboldNOspaceafter">
    <w:name w:val="Indent 2 semi bold NO space after"/>
    <w:basedOn w:val="Normal"/>
    <w:rsid w:val="00E8163D"/>
    <w:pPr>
      <w:ind w:left="1080" w:hanging="600"/>
    </w:pPr>
    <w:rPr>
      <w:b/>
      <w:color w:val="7F7F7F" w:themeColor="text1" w:themeTint="80"/>
    </w:rPr>
  </w:style>
  <w:style w:type="paragraph" w:customStyle="1" w:styleId="Indent3">
    <w:name w:val="Indent 3"/>
    <w:rsid w:val="00E8163D"/>
    <w:pPr>
      <w:tabs>
        <w:tab w:val="left" w:pos="1440"/>
      </w:tabs>
      <w:spacing w:after="240" w:line="240" w:lineRule="exact"/>
      <w:ind w:left="1440" w:hanging="480"/>
    </w:pPr>
    <w:rPr>
      <w:rFonts w:ascii="Verdana" w:eastAsiaTheme="minorHAnsi" w:hAnsi="Verdana" w:cstheme="majorBidi"/>
      <w:color w:val="000000" w:themeColor="text1"/>
      <w:lang w:val="en-GB"/>
    </w:rPr>
  </w:style>
  <w:style w:type="paragraph" w:customStyle="1" w:styleId="Indent3NOspaceafter">
    <w:name w:val="Indent 3 NO space after"/>
    <w:basedOn w:val="Indent3"/>
    <w:rsid w:val="00E8163D"/>
    <w:pPr>
      <w:spacing w:after="0"/>
    </w:pPr>
  </w:style>
  <w:style w:type="paragraph" w:customStyle="1" w:styleId="Indent3semibold">
    <w:name w:val="Indent 3 semi bold"/>
    <w:basedOn w:val="Indent3"/>
    <w:qFormat/>
    <w:rsid w:val="00E8163D"/>
    <w:rPr>
      <w:b/>
      <w:color w:val="7F7F7F" w:themeColor="text1" w:themeTint="80"/>
    </w:rPr>
  </w:style>
  <w:style w:type="paragraph" w:customStyle="1" w:styleId="Indent3semiboldNOspaceafter">
    <w:name w:val="Indent 3 semi bold NO space after"/>
    <w:basedOn w:val="Normal"/>
    <w:rsid w:val="00E8163D"/>
    <w:pPr>
      <w:ind w:left="1440" w:hanging="480"/>
    </w:pPr>
    <w:rPr>
      <w:b/>
      <w:color w:val="7F7F7F" w:themeColor="text1" w:themeTint="80"/>
    </w:rPr>
  </w:style>
  <w:style w:type="paragraph" w:customStyle="1" w:styleId="Indent4">
    <w:name w:val="Indent 4"/>
    <w:basedOn w:val="Normal"/>
    <w:rsid w:val="00E8163D"/>
    <w:pPr>
      <w:tabs>
        <w:tab w:val="left" w:pos="1920"/>
      </w:tabs>
      <w:spacing w:after="240" w:line="240" w:lineRule="exact"/>
      <w:ind w:left="1920" w:hanging="480"/>
    </w:pPr>
  </w:style>
  <w:style w:type="paragraph" w:customStyle="1" w:styleId="Indent4NOspaceafter">
    <w:name w:val="Indent 4 NO space after"/>
    <w:basedOn w:val="Normal"/>
    <w:rsid w:val="00E8163D"/>
    <w:pPr>
      <w:ind w:left="1920" w:hanging="480"/>
    </w:pPr>
  </w:style>
  <w:style w:type="paragraph" w:customStyle="1" w:styleId="Indent4semibold">
    <w:name w:val="Indent 4 semi bold"/>
    <w:basedOn w:val="Normal"/>
    <w:rsid w:val="00E8163D"/>
    <w:pPr>
      <w:spacing w:after="240"/>
      <w:ind w:left="1920" w:hanging="480"/>
    </w:pPr>
    <w:rPr>
      <w:b/>
      <w:color w:val="7F7F7F" w:themeColor="text1" w:themeTint="80"/>
    </w:rPr>
  </w:style>
  <w:style w:type="paragraph" w:customStyle="1" w:styleId="Indent4semiboldNOspaceafter">
    <w:name w:val="Indent 4 semi bold NO space after"/>
    <w:basedOn w:val="Normal"/>
    <w:rsid w:val="00E8163D"/>
    <w:pPr>
      <w:ind w:left="1920" w:hanging="480"/>
    </w:pPr>
    <w:rPr>
      <w:b/>
      <w:color w:val="7F7F7F" w:themeColor="text1" w:themeTint="80"/>
    </w:rPr>
  </w:style>
  <w:style w:type="character" w:customStyle="1" w:styleId="Italic">
    <w:name w:val="Italic"/>
    <w:basedOn w:val="DefaultParagraphFont"/>
    <w:qFormat/>
    <w:rsid w:val="00E8163D"/>
    <w:rPr>
      <w:i/>
    </w:rPr>
  </w:style>
  <w:style w:type="character" w:customStyle="1" w:styleId="Medium">
    <w:name w:val="Medium"/>
    <w:rsid w:val="00E8163D"/>
    <w:rPr>
      <w:b w:val="0"/>
    </w:rPr>
  </w:style>
  <w:style w:type="paragraph" w:customStyle="1" w:styleId="Note">
    <w:name w:val="Note"/>
    <w:qFormat/>
    <w:rsid w:val="00E8163D"/>
    <w:pPr>
      <w:tabs>
        <w:tab w:val="left" w:pos="720"/>
      </w:tabs>
      <w:spacing w:after="240" w:line="200" w:lineRule="exact"/>
    </w:pPr>
    <w:rPr>
      <w:rFonts w:ascii="Verdana" w:eastAsia="Arial" w:hAnsi="Verdana" w:cs="Arial"/>
      <w:color w:val="000000" w:themeColor="text1"/>
      <w:sz w:val="16"/>
      <w:szCs w:val="22"/>
      <w:lang w:val="en-GB" w:eastAsia="en-US"/>
    </w:rPr>
  </w:style>
  <w:style w:type="paragraph" w:customStyle="1" w:styleId="Notes1">
    <w:name w:val="Notes 1"/>
    <w:qFormat/>
    <w:rsid w:val="00E8163D"/>
    <w:pPr>
      <w:spacing w:after="240" w:line="200" w:lineRule="exact"/>
      <w:ind w:left="360" w:hanging="360"/>
    </w:pPr>
    <w:rPr>
      <w:rFonts w:ascii="Verdana" w:eastAsia="Arial" w:hAnsi="Verdana" w:cs="Arial"/>
      <w:color w:val="000000" w:themeColor="text1"/>
      <w:sz w:val="16"/>
      <w:szCs w:val="22"/>
      <w:lang w:val="en-GB" w:eastAsia="en-US"/>
    </w:rPr>
  </w:style>
  <w:style w:type="paragraph" w:customStyle="1" w:styleId="Notes2">
    <w:name w:val="Notes 2"/>
    <w:qFormat/>
    <w:rsid w:val="00E8163D"/>
    <w:pPr>
      <w:spacing w:after="240" w:line="200" w:lineRule="exact"/>
      <w:ind w:left="720" w:hanging="360"/>
    </w:pPr>
    <w:rPr>
      <w:rFonts w:ascii="Verdana" w:eastAsia="Arial" w:hAnsi="Verdana" w:cs="Arial"/>
      <w:color w:val="000000" w:themeColor="text1"/>
      <w:sz w:val="16"/>
      <w:szCs w:val="22"/>
      <w:lang w:val="en-GB" w:eastAsia="en-US"/>
    </w:rPr>
  </w:style>
  <w:style w:type="paragraph" w:customStyle="1" w:styleId="Notes3">
    <w:name w:val="Notes 3"/>
    <w:basedOn w:val="Normal"/>
    <w:rsid w:val="00E8163D"/>
    <w:pPr>
      <w:spacing w:after="240"/>
      <w:ind w:left="1080" w:hanging="360"/>
    </w:pPr>
    <w:rPr>
      <w:sz w:val="16"/>
    </w:rPr>
  </w:style>
  <w:style w:type="paragraph" w:customStyle="1" w:styleId="Parttitle">
    <w:name w:val="Part title"/>
    <w:rsid w:val="00E8163D"/>
    <w:pPr>
      <w:keepNext/>
      <w:spacing w:after="560" w:line="300" w:lineRule="exact"/>
      <w:outlineLvl w:val="1"/>
    </w:pPr>
    <w:rPr>
      <w:rFonts w:ascii="Verdana" w:eastAsiaTheme="minorHAnsi" w:hAnsi="Verdana" w:cstheme="majorBidi"/>
      <w:b/>
      <w:color w:val="000000" w:themeColor="text1"/>
      <w:sz w:val="26"/>
      <w:lang w:val="en-GB"/>
    </w:rPr>
  </w:style>
  <w:style w:type="paragraph" w:customStyle="1" w:styleId="Quotes">
    <w:name w:val="Quotes"/>
    <w:basedOn w:val="Normal"/>
    <w:rsid w:val="00E8163D"/>
    <w:pPr>
      <w:tabs>
        <w:tab w:val="left" w:pos="1740"/>
      </w:tabs>
      <w:spacing w:after="240" w:line="240" w:lineRule="exact"/>
      <w:ind w:left="1123" w:right="1123"/>
    </w:pPr>
    <w:rPr>
      <w:sz w:val="18"/>
    </w:rPr>
  </w:style>
  <w:style w:type="paragraph" w:customStyle="1" w:styleId="Quotestab">
    <w:name w:val="Quotes tab"/>
    <w:basedOn w:val="Quotes"/>
    <w:qFormat/>
    <w:rsid w:val="00E8163D"/>
    <w:pPr>
      <w:tabs>
        <w:tab w:val="clear" w:pos="1740"/>
        <w:tab w:val="left" w:pos="1500"/>
      </w:tabs>
      <w:spacing w:after="120"/>
      <w:ind w:left="1503" w:hanging="380"/>
    </w:pPr>
    <w:rPr>
      <w:rFonts w:eastAsia="Arial" w:cs="Arial"/>
      <w:szCs w:val="22"/>
      <w:lang w:eastAsia="en-US"/>
    </w:rPr>
  </w:style>
  <w:style w:type="paragraph" w:customStyle="1" w:styleId="Quotestabspaceafter">
    <w:name w:val="Quotes tab space after"/>
    <w:basedOn w:val="Quotestab"/>
    <w:rsid w:val="00E8163D"/>
    <w:pPr>
      <w:spacing w:after="240"/>
    </w:pPr>
  </w:style>
  <w:style w:type="paragraph" w:customStyle="1" w:styleId="References">
    <w:name w:val="References"/>
    <w:basedOn w:val="Normal"/>
    <w:rsid w:val="00E8163D"/>
    <w:pPr>
      <w:spacing w:line="200" w:lineRule="exact"/>
      <w:ind w:left="960" w:hanging="960"/>
    </w:pPr>
    <w:rPr>
      <w:sz w:val="18"/>
    </w:rPr>
  </w:style>
  <w:style w:type="character" w:customStyle="1" w:styleId="Runningheads">
    <w:name w:val="Running_heads"/>
    <w:rsid w:val="00E8163D"/>
  </w:style>
  <w:style w:type="character" w:customStyle="1" w:styleId="Semibold">
    <w:name w:val="Semi bold"/>
    <w:basedOn w:val="DefaultParagraphFont"/>
    <w:qFormat/>
    <w:rsid w:val="00E8163D"/>
    <w:rPr>
      <w:b/>
      <w:color w:val="7F7F7F" w:themeColor="text1" w:themeTint="80"/>
    </w:rPr>
  </w:style>
  <w:style w:type="character" w:customStyle="1" w:styleId="Semibolditalic">
    <w:name w:val="Semi bold italic"/>
    <w:qFormat/>
    <w:rsid w:val="00E8163D"/>
    <w:rPr>
      <w:b/>
      <w:i/>
      <w:color w:val="7F7F7F" w:themeColor="text1" w:themeTint="80"/>
    </w:rPr>
  </w:style>
  <w:style w:type="character" w:customStyle="1" w:styleId="Serif">
    <w:name w:val="Serif"/>
    <w:basedOn w:val="Medium"/>
    <w:qFormat/>
    <w:rsid w:val="00E8163D"/>
    <w:rPr>
      <w:rFonts w:ascii="Times New Roman" w:hAnsi="Times New Roman"/>
      <w:b w:val="0"/>
    </w:rPr>
  </w:style>
  <w:style w:type="character" w:customStyle="1" w:styleId="Serifitalic">
    <w:name w:val="Serif italic"/>
    <w:rsid w:val="00E8163D"/>
    <w:rPr>
      <w:rFonts w:ascii="Times New Roman" w:hAnsi="Times New Roman"/>
      <w:i/>
    </w:rPr>
  </w:style>
  <w:style w:type="character" w:customStyle="1" w:styleId="Serifitalicsubscript">
    <w:name w:val="Serif italic subscript"/>
    <w:rsid w:val="00E8163D"/>
    <w:rPr>
      <w:rFonts w:ascii="Times New Roman" w:hAnsi="Times New Roman"/>
      <w:i/>
      <w:vertAlign w:val="subscript"/>
    </w:rPr>
  </w:style>
  <w:style w:type="character" w:customStyle="1" w:styleId="Serifitalicsuperscript">
    <w:name w:val="Serif italic superscript"/>
    <w:rsid w:val="00E8163D"/>
    <w:rPr>
      <w:rFonts w:ascii="Times New Roman" w:hAnsi="Times New Roman"/>
      <w:i/>
      <w:vertAlign w:val="superscript"/>
    </w:rPr>
  </w:style>
  <w:style w:type="character" w:customStyle="1" w:styleId="Subscript">
    <w:name w:val="Subscript"/>
    <w:rsid w:val="00E8163D"/>
    <w:rPr>
      <w:vertAlign w:val="subscript"/>
    </w:rPr>
  </w:style>
  <w:style w:type="character" w:customStyle="1" w:styleId="Serifsubscript">
    <w:name w:val="Serif subscript"/>
    <w:basedOn w:val="Subscript"/>
    <w:qFormat/>
    <w:rsid w:val="00E8163D"/>
    <w:rPr>
      <w:rFonts w:ascii="Times New Roman" w:hAnsi="Times New Roman"/>
      <w:vertAlign w:val="subscript"/>
    </w:rPr>
  </w:style>
  <w:style w:type="character" w:customStyle="1" w:styleId="Serifsuperscript">
    <w:name w:val="Serif superscript"/>
    <w:basedOn w:val="Serifsubscript"/>
    <w:qFormat/>
    <w:rsid w:val="00E8163D"/>
    <w:rPr>
      <w:rFonts w:ascii="Times New Roman" w:hAnsi="Times New Roman"/>
      <w:b w:val="0"/>
      <w:i w:val="0"/>
      <w:vertAlign w:val="superscript"/>
    </w:rPr>
  </w:style>
  <w:style w:type="paragraph" w:styleId="Signature">
    <w:name w:val="Signature"/>
    <w:basedOn w:val="Normal"/>
    <w:link w:val="SignatureChar"/>
    <w:rsid w:val="00E8163D"/>
    <w:pPr>
      <w:spacing w:line="240" w:lineRule="exact"/>
      <w:jc w:val="right"/>
    </w:pPr>
  </w:style>
  <w:style w:type="character" w:customStyle="1" w:styleId="SignatureChar">
    <w:name w:val="Signature Char"/>
    <w:basedOn w:val="DefaultParagraphFont"/>
    <w:link w:val="Signature"/>
    <w:rsid w:val="00E8163D"/>
    <w:rPr>
      <w:rFonts w:ascii="Verdana" w:eastAsiaTheme="minorHAnsi" w:hAnsi="Verdana" w:cstheme="majorBidi"/>
      <w:color w:val="000000" w:themeColor="text1"/>
      <w:lang w:val="fr-FR"/>
    </w:rPr>
  </w:style>
  <w:style w:type="paragraph" w:customStyle="1" w:styleId="Source">
    <w:name w:val="Source"/>
    <w:basedOn w:val="Normal"/>
    <w:rsid w:val="00E8163D"/>
    <w:pPr>
      <w:spacing w:after="240" w:line="200" w:lineRule="exact"/>
      <w:ind w:left="357"/>
    </w:pPr>
    <w:rPr>
      <w:sz w:val="16"/>
    </w:rPr>
  </w:style>
  <w:style w:type="character" w:customStyle="1" w:styleId="Spacenon-breaking">
    <w:name w:val="Space non-breaking"/>
    <w:rsid w:val="00E8163D"/>
    <w:rPr>
      <w:bdr w:val="dashed" w:sz="2" w:space="0" w:color="auto"/>
    </w:rPr>
  </w:style>
  <w:style w:type="character" w:customStyle="1" w:styleId="Stix">
    <w:name w:val="Stix"/>
    <w:rsid w:val="00E8163D"/>
    <w:rPr>
      <w:rFonts w:ascii="STIX" w:hAnsi="STIX"/>
    </w:rPr>
  </w:style>
  <w:style w:type="character" w:customStyle="1" w:styleId="Stixitalic">
    <w:name w:val="Stix italic"/>
    <w:rsid w:val="00E8163D"/>
    <w:rPr>
      <w:rFonts w:ascii="STIX" w:hAnsi="STIX"/>
      <w:i/>
    </w:rPr>
  </w:style>
  <w:style w:type="paragraph" w:customStyle="1" w:styleId="Subheading1">
    <w:name w:val="Subheading_1"/>
    <w:qFormat/>
    <w:rsid w:val="00E8163D"/>
    <w:pPr>
      <w:keepNext/>
      <w:tabs>
        <w:tab w:val="left" w:pos="1120"/>
      </w:tabs>
      <w:spacing w:before="240" w:after="240" w:line="240" w:lineRule="exact"/>
      <w:outlineLvl w:val="8"/>
    </w:pPr>
    <w:rPr>
      <w:rFonts w:ascii="Verdana" w:eastAsia="Arial" w:hAnsi="Verdana" w:cs="Arial"/>
      <w:b/>
      <w:color w:val="7F7F7F" w:themeColor="text1" w:themeTint="80"/>
      <w:szCs w:val="22"/>
      <w:lang w:val="en-GB" w:eastAsia="en-US"/>
    </w:rPr>
  </w:style>
  <w:style w:type="paragraph" w:customStyle="1" w:styleId="Subheading2">
    <w:name w:val="Subheading_2"/>
    <w:qFormat/>
    <w:rsid w:val="00E8163D"/>
    <w:pPr>
      <w:keepNext/>
      <w:tabs>
        <w:tab w:val="left" w:pos="1120"/>
      </w:tabs>
      <w:spacing w:before="240" w:after="240" w:line="240" w:lineRule="exact"/>
      <w:outlineLvl w:val="8"/>
    </w:pPr>
    <w:rPr>
      <w:rFonts w:ascii="Verdana" w:eastAsia="Arial" w:hAnsi="Verdana" w:cs="Arial"/>
      <w:b/>
      <w:i/>
      <w:color w:val="7F7F7F" w:themeColor="text1" w:themeTint="80"/>
      <w:szCs w:val="22"/>
      <w:lang w:val="en-GB" w:eastAsia="en-US"/>
    </w:rPr>
  </w:style>
  <w:style w:type="character" w:customStyle="1" w:styleId="Subscriptitalic">
    <w:name w:val="Subscript italic"/>
    <w:rsid w:val="00E8163D"/>
    <w:rPr>
      <w:i/>
      <w:vertAlign w:val="subscript"/>
    </w:rPr>
  </w:style>
  <w:style w:type="character" w:customStyle="1" w:styleId="Superscript">
    <w:name w:val="Superscript"/>
    <w:basedOn w:val="DefaultParagraphFont"/>
    <w:qFormat/>
    <w:rsid w:val="00E8163D"/>
    <w:rPr>
      <w:vertAlign w:val="superscript"/>
    </w:rPr>
  </w:style>
  <w:style w:type="character" w:customStyle="1" w:styleId="Superscriptitalic">
    <w:name w:val="Superscript italic"/>
    <w:rsid w:val="00E8163D"/>
    <w:rPr>
      <w:i/>
      <w:vertAlign w:val="superscript"/>
    </w:rPr>
  </w:style>
  <w:style w:type="paragraph" w:customStyle="1" w:styleId="Tableastext">
    <w:name w:val="Table as text"/>
    <w:qFormat/>
    <w:rsid w:val="00E8163D"/>
    <w:pPr>
      <w:spacing w:after="120"/>
    </w:pPr>
    <w:rPr>
      <w:rFonts w:ascii="Verdana" w:eastAsiaTheme="minorHAnsi" w:hAnsi="Verdana" w:cstheme="majorBidi"/>
      <w:color w:val="000000" w:themeColor="text1"/>
      <w:szCs w:val="22"/>
      <w:lang w:val="en-GB"/>
    </w:rPr>
  </w:style>
  <w:style w:type="paragraph" w:customStyle="1" w:styleId="Tablebody">
    <w:name w:val="Table body"/>
    <w:basedOn w:val="Normal"/>
    <w:link w:val="TablebodyChar"/>
    <w:rsid w:val="00E8163D"/>
    <w:pPr>
      <w:spacing w:line="220" w:lineRule="exact"/>
    </w:pPr>
    <w:rPr>
      <w:spacing w:val="-4"/>
      <w:sz w:val="18"/>
    </w:rPr>
  </w:style>
  <w:style w:type="character" w:customStyle="1" w:styleId="TablebodyChar">
    <w:name w:val="Table body Char"/>
    <w:basedOn w:val="DefaultParagraphFont"/>
    <w:link w:val="Tablebody"/>
    <w:rsid w:val="00E8163D"/>
    <w:rPr>
      <w:rFonts w:ascii="Verdana" w:eastAsiaTheme="minorHAnsi" w:hAnsi="Verdana" w:cstheme="majorBidi"/>
      <w:color w:val="000000" w:themeColor="text1"/>
      <w:spacing w:val="-4"/>
      <w:sz w:val="18"/>
      <w:lang w:val="fr-FR"/>
    </w:rPr>
  </w:style>
  <w:style w:type="paragraph" w:customStyle="1" w:styleId="Tablebodycentered">
    <w:name w:val="Table body centered"/>
    <w:basedOn w:val="Normal"/>
    <w:rsid w:val="00E8163D"/>
    <w:pPr>
      <w:spacing w:line="220" w:lineRule="exact"/>
      <w:jc w:val="center"/>
    </w:pPr>
    <w:rPr>
      <w:sz w:val="18"/>
    </w:rPr>
  </w:style>
  <w:style w:type="paragraph" w:customStyle="1" w:styleId="Tablebodyindent1">
    <w:name w:val="Table body indent 1"/>
    <w:basedOn w:val="Normal"/>
    <w:rsid w:val="00E8163D"/>
    <w:pPr>
      <w:tabs>
        <w:tab w:val="left" w:pos="360"/>
      </w:tabs>
      <w:spacing w:line="220" w:lineRule="exact"/>
      <w:ind w:left="357" w:hanging="357"/>
    </w:pPr>
    <w:rPr>
      <w:sz w:val="18"/>
    </w:rPr>
  </w:style>
  <w:style w:type="paragraph" w:customStyle="1" w:styleId="Tablebodyindent2">
    <w:name w:val="Table body indent 2"/>
    <w:basedOn w:val="Normal"/>
    <w:rsid w:val="00E8163D"/>
    <w:pPr>
      <w:tabs>
        <w:tab w:val="left" w:pos="720"/>
      </w:tabs>
      <w:spacing w:line="220" w:lineRule="exact"/>
      <w:ind w:left="714" w:hanging="357"/>
    </w:pPr>
    <w:rPr>
      <w:sz w:val="18"/>
    </w:rPr>
  </w:style>
  <w:style w:type="paragraph" w:customStyle="1" w:styleId="Tablecaption">
    <w:name w:val="Table caption"/>
    <w:basedOn w:val="Normal"/>
    <w:rsid w:val="00E8163D"/>
    <w:pPr>
      <w:keepNext/>
      <w:spacing w:before="240" w:after="240" w:line="240" w:lineRule="exact"/>
      <w:jc w:val="center"/>
    </w:pPr>
    <w:rPr>
      <w:b/>
      <w:color w:val="7F7F7F" w:themeColor="text1" w:themeTint="80"/>
    </w:rPr>
  </w:style>
  <w:style w:type="paragraph" w:customStyle="1" w:styleId="Tableheader">
    <w:name w:val="Table header"/>
    <w:basedOn w:val="Normal"/>
    <w:link w:val="TableheaderChar"/>
    <w:rsid w:val="00E8163D"/>
    <w:pPr>
      <w:spacing w:before="125" w:after="125" w:line="220" w:lineRule="exact"/>
      <w:jc w:val="center"/>
    </w:pPr>
    <w:rPr>
      <w:i/>
      <w:sz w:val="18"/>
      <w:lang w:eastAsia="en-US"/>
    </w:rPr>
  </w:style>
  <w:style w:type="character" w:customStyle="1" w:styleId="TableheaderChar">
    <w:name w:val="Table header Char"/>
    <w:basedOn w:val="DefaultParagraphFont"/>
    <w:link w:val="Tableheader"/>
    <w:rsid w:val="00E8163D"/>
    <w:rPr>
      <w:rFonts w:ascii="Verdana" w:eastAsiaTheme="minorHAnsi" w:hAnsi="Verdana" w:cstheme="majorBidi"/>
      <w:i/>
      <w:color w:val="000000" w:themeColor="text1"/>
      <w:sz w:val="18"/>
      <w:lang w:val="fr-FR" w:eastAsia="en-US"/>
    </w:rPr>
  </w:style>
  <w:style w:type="paragraph" w:customStyle="1" w:styleId="Tablenote">
    <w:name w:val="Table note"/>
    <w:basedOn w:val="Normal"/>
    <w:rsid w:val="00E8163D"/>
    <w:pPr>
      <w:spacing w:line="200" w:lineRule="exact"/>
      <w:ind w:left="480" w:hanging="480"/>
    </w:pPr>
    <w:rPr>
      <w:sz w:val="16"/>
    </w:rPr>
  </w:style>
  <w:style w:type="paragraph" w:customStyle="1" w:styleId="Tablenotes">
    <w:name w:val="Table notes"/>
    <w:basedOn w:val="Normal"/>
    <w:rsid w:val="00E8163D"/>
    <w:pPr>
      <w:spacing w:line="200" w:lineRule="exact"/>
      <w:ind w:left="240" w:hanging="240"/>
    </w:pPr>
    <w:rPr>
      <w:sz w:val="16"/>
    </w:rPr>
  </w:style>
  <w:style w:type="paragraph" w:customStyle="1" w:styleId="THEEND">
    <w:name w:val="THE END _____"/>
    <w:rsid w:val="00E8163D"/>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rPr>
      <w:rFonts w:ascii="Verdana" w:eastAsia="Times New Roman" w:hAnsi="Verdana"/>
      <w:noProof/>
      <w:color w:val="000000" w:themeColor="text1"/>
      <w:szCs w:val="24"/>
      <w:lang w:val="en-GB" w:eastAsia="fr-CH"/>
    </w:rPr>
  </w:style>
  <w:style w:type="paragraph" w:customStyle="1" w:styleId="THEENDNOspacebefore">
    <w:name w:val="THE END _____ NO space before"/>
    <w:rsid w:val="00E8163D"/>
    <w:pPr>
      <w:pBdr>
        <w:top w:val="single" w:sz="2" w:space="1" w:color="auto"/>
        <w:left w:val="single" w:sz="2" w:space="4" w:color="auto"/>
        <w:bottom w:val="single" w:sz="2" w:space="1" w:color="auto"/>
        <w:right w:val="single" w:sz="2" w:space="4" w:color="auto"/>
      </w:pBdr>
      <w:shd w:val="clear" w:color="auto" w:fill="000000" w:themeFill="text1"/>
      <w:spacing w:before="240" w:line="14" w:lineRule="exact"/>
      <w:ind w:left="3997" w:right="3997"/>
      <w:contextualSpacing/>
      <w:jc w:val="center"/>
    </w:pPr>
    <w:rPr>
      <w:rFonts w:ascii="Verdana" w:eastAsiaTheme="minorHAnsi" w:hAnsi="Verdana" w:cstheme="majorBidi"/>
      <w:color w:val="000000" w:themeColor="text1"/>
      <w:szCs w:val="24"/>
      <w:lang w:val="en-GB" w:eastAsia="en-US"/>
    </w:rPr>
  </w:style>
  <w:style w:type="paragraph" w:customStyle="1" w:styleId="TITLEPAGE">
    <w:name w:val="TITLE PAGE"/>
    <w:basedOn w:val="Normal"/>
    <w:rsid w:val="00E8163D"/>
    <w:pPr>
      <w:spacing w:before="120" w:after="120"/>
    </w:pPr>
    <w:rPr>
      <w:b/>
      <w:sz w:val="32"/>
    </w:rPr>
  </w:style>
  <w:style w:type="paragraph" w:customStyle="1" w:styleId="TOC0digit">
    <w:name w:val="TOC 0 digit"/>
    <w:basedOn w:val="Normal"/>
    <w:uiPriority w:val="1"/>
    <w:rsid w:val="00E8163D"/>
  </w:style>
  <w:style w:type="paragraph" w:customStyle="1" w:styleId="TOC1digit">
    <w:name w:val="TOC 1 digit"/>
    <w:basedOn w:val="Normal"/>
    <w:uiPriority w:val="1"/>
    <w:rsid w:val="00E8163D"/>
  </w:style>
  <w:style w:type="paragraph" w:customStyle="1" w:styleId="TOC2digit">
    <w:name w:val="TOC 2 digit"/>
    <w:basedOn w:val="Normal"/>
    <w:uiPriority w:val="1"/>
    <w:rsid w:val="00E8163D"/>
  </w:style>
  <w:style w:type="paragraph" w:customStyle="1" w:styleId="TOC2digits">
    <w:name w:val="TOC 2 digits"/>
    <w:basedOn w:val="Normal"/>
    <w:uiPriority w:val="1"/>
    <w:rsid w:val="00E8163D"/>
  </w:style>
  <w:style w:type="paragraph" w:customStyle="1" w:styleId="TOC3digits">
    <w:name w:val="TOC 3 digits"/>
    <w:basedOn w:val="Normal"/>
    <w:uiPriority w:val="1"/>
    <w:rsid w:val="00E8163D"/>
  </w:style>
  <w:style w:type="paragraph" w:customStyle="1" w:styleId="ZZZZZZZZZZZZZZZZZZZZZZZZZZ">
    <w:name w:val="ZZZZZZZZZZZZZZZZZZZZZZZZZZ"/>
    <w:basedOn w:val="Normal"/>
    <w:rsid w:val="00E8163D"/>
  </w:style>
  <w:style w:type="character" w:customStyle="1" w:styleId="Sericitalic">
    <w:name w:val="Seric italic"/>
    <w:basedOn w:val="Italic"/>
    <w:uiPriority w:val="1"/>
    <w:qFormat/>
    <w:rsid w:val="00E8163D"/>
    <w:rPr>
      <w:rFonts w:ascii="Times New Roman" w:hAnsi="Times New Roman"/>
      <w:i/>
    </w:rPr>
  </w:style>
  <w:style w:type="character" w:customStyle="1" w:styleId="Serifsubscriptitalic">
    <w:name w:val="Serif subscript italic"/>
    <w:basedOn w:val="Subscriptitalic"/>
    <w:uiPriority w:val="1"/>
    <w:qFormat/>
    <w:rsid w:val="00E8163D"/>
    <w:rPr>
      <w:rFonts w:ascii="Times New Roman" w:hAnsi="Times New Roman"/>
      <w:i/>
      <w:vertAlign w:val="subscript"/>
    </w:rPr>
  </w:style>
  <w:style w:type="character" w:customStyle="1" w:styleId="Serifsupersciptitalic">
    <w:name w:val="Serif superscipt italic"/>
    <w:basedOn w:val="Serifsuperscript"/>
    <w:uiPriority w:val="1"/>
    <w:qFormat/>
    <w:rsid w:val="00E8163D"/>
    <w:rPr>
      <w:rFonts w:ascii="Times New Roman" w:hAnsi="Times New Roman"/>
      <w:b w:val="0"/>
      <w:i/>
      <w:vertAlign w:val="superscript"/>
    </w:rPr>
  </w:style>
  <w:style w:type="paragraph" w:customStyle="1" w:styleId="Noteindent2Spaceafter">
    <w:name w:val="Note indent 2 Space after"/>
    <w:basedOn w:val="Normal"/>
    <w:uiPriority w:val="1"/>
    <w:rsid w:val="00E8163D"/>
  </w:style>
  <w:style w:type="paragraph" w:customStyle="1" w:styleId="Bodytextsemibold0">
    <w:name w:val="Body_text_semibold"/>
    <w:uiPriority w:val="1"/>
    <w:qFormat/>
    <w:rsid w:val="00E8163D"/>
    <w:pPr>
      <w:tabs>
        <w:tab w:val="left" w:pos="1120"/>
      </w:tabs>
      <w:spacing w:after="240" w:line="240" w:lineRule="exact"/>
    </w:pPr>
    <w:rPr>
      <w:rFonts w:ascii="Verdana" w:eastAsiaTheme="minorHAnsi" w:hAnsi="Verdana" w:cstheme="majorBidi"/>
      <w:b/>
      <w:color w:val="7F7F7F" w:themeColor="text1" w:themeTint="80"/>
      <w:szCs w:val="22"/>
      <w:lang w:val="en-GB"/>
    </w:rPr>
  </w:style>
  <w:style w:type="character" w:customStyle="1" w:styleId="Serifmedium">
    <w:name w:val="Serif medium"/>
    <w:basedOn w:val="Sericitalic"/>
    <w:uiPriority w:val="1"/>
    <w:qFormat/>
    <w:rsid w:val="00E8163D"/>
    <w:rPr>
      <w:rFonts w:ascii="Times New Roman" w:hAnsi="Times New Roman"/>
      <w:i w:val="0"/>
    </w:rPr>
  </w:style>
  <w:style w:type="character" w:customStyle="1" w:styleId="Superscriptsemibold">
    <w:name w:val="Superscript semi bold"/>
    <w:rsid w:val="00E8163D"/>
    <w:rPr>
      <w:b/>
      <w:color w:val="7F7F7F" w:themeColor="text1" w:themeTint="80"/>
      <w:vertAlign w:val="superscript"/>
    </w:rPr>
  </w:style>
  <w:style w:type="character" w:customStyle="1" w:styleId="Subscriptsemibold">
    <w:name w:val="Subscript semi bold"/>
    <w:rsid w:val="00E8163D"/>
    <w:rPr>
      <w:b/>
      <w:color w:val="808080" w:themeColor="background1" w:themeShade="80"/>
      <w:vertAlign w:val="subscript"/>
    </w:rPr>
  </w:style>
  <w:style w:type="paragraph" w:customStyle="1" w:styleId="ChapterheadNOToC">
    <w:name w:val="Chapter head NO ToC"/>
    <w:basedOn w:val="Chapterhead"/>
    <w:rsid w:val="00E8163D"/>
  </w:style>
  <w:style w:type="paragraph" w:customStyle="1" w:styleId="COVERSUBTITLE">
    <w:name w:val="COVER SUBTITLE"/>
    <w:basedOn w:val="Normal"/>
    <w:uiPriority w:val="1"/>
    <w:rsid w:val="00E8163D"/>
    <w:pPr>
      <w:spacing w:after="240"/>
    </w:pPr>
    <w:rPr>
      <w:b/>
      <w:sz w:val="24"/>
    </w:rPr>
  </w:style>
  <w:style w:type="paragraph" w:customStyle="1" w:styleId="COVERsubtitle0">
    <w:name w:val="COVER subtitle"/>
    <w:basedOn w:val="Normal"/>
    <w:rsid w:val="00E8163D"/>
    <w:pPr>
      <w:spacing w:before="120" w:after="120"/>
    </w:pPr>
    <w:rPr>
      <w:b/>
      <w:sz w:val="32"/>
    </w:rPr>
  </w:style>
  <w:style w:type="paragraph" w:customStyle="1" w:styleId="TITLEPAGEsubtitle">
    <w:name w:val="TITLE PAGE subtitle"/>
    <w:basedOn w:val="Normal"/>
    <w:rsid w:val="00E8163D"/>
    <w:pPr>
      <w:spacing w:before="120" w:after="120"/>
    </w:pPr>
    <w:rPr>
      <w:b/>
      <w:sz w:val="28"/>
    </w:rPr>
  </w:style>
  <w:style w:type="paragraph" w:customStyle="1" w:styleId="TITLEPAGEsub-subtitle">
    <w:name w:val="TITLE PAGE sub-subtitle"/>
    <w:basedOn w:val="Normal"/>
    <w:rsid w:val="00E8163D"/>
    <w:pPr>
      <w:spacing w:before="120" w:after="120"/>
    </w:pPr>
    <w:rPr>
      <w:b/>
      <w:sz w:val="24"/>
    </w:rPr>
  </w:style>
  <w:style w:type="paragraph" w:customStyle="1" w:styleId="COVERsub-subtitle">
    <w:name w:val="COVER sub-subtitle"/>
    <w:basedOn w:val="Normal"/>
    <w:rsid w:val="00E8163D"/>
    <w:pPr>
      <w:spacing w:before="120" w:after="120"/>
    </w:pPr>
    <w:rPr>
      <w:b/>
      <w:sz w:val="28"/>
    </w:rPr>
  </w:style>
  <w:style w:type="character" w:customStyle="1" w:styleId="HyperlinkItalic0">
    <w:name w:val="Hyperlink Italic"/>
    <w:rsid w:val="00E8163D"/>
    <w:rPr>
      <w:i/>
      <w:color w:val="0000FF"/>
    </w:rPr>
  </w:style>
  <w:style w:type="character" w:customStyle="1" w:styleId="Tiny">
    <w:name w:val="Tiny"/>
    <w:rsid w:val="00E8163D"/>
  </w:style>
  <w:style w:type="paragraph" w:customStyle="1" w:styleId="Notesheading">
    <w:name w:val="Notes heading"/>
    <w:next w:val="Notes1"/>
    <w:rsid w:val="00E8163D"/>
    <w:pPr>
      <w:keepNext/>
      <w:spacing w:line="276" w:lineRule="auto"/>
    </w:pPr>
    <w:rPr>
      <w:rFonts w:ascii="Verdana" w:eastAsiaTheme="minorHAnsi" w:hAnsi="Verdana" w:cstheme="majorBidi"/>
      <w:color w:val="000000" w:themeColor="text1"/>
      <w:sz w:val="16"/>
      <w:lang w:val="en-GB"/>
    </w:rPr>
  </w:style>
  <w:style w:type="character" w:customStyle="1" w:styleId="Serifitalicsemibold">
    <w:name w:val="Serif italic semi bold"/>
    <w:rsid w:val="00E8163D"/>
    <w:rPr>
      <w:rFonts w:ascii="Times New Roman" w:hAnsi="Times New Roman"/>
      <w:b/>
      <w:i/>
      <w:color w:val="7F7F7F" w:themeColor="text1" w:themeTint="80"/>
      <w:sz w:val="20"/>
      <w:szCs w:val="20"/>
    </w:rPr>
  </w:style>
  <w:style w:type="character" w:customStyle="1" w:styleId="Serifitalicsubscriptsemibold">
    <w:name w:val="Serif italic subscript semi bold"/>
    <w:rsid w:val="00E8163D"/>
    <w:rPr>
      <w:rFonts w:ascii="Times New Roman" w:hAnsi="Times New Roman"/>
      <w:b/>
      <w:i/>
      <w:color w:val="7F7F7F" w:themeColor="text1" w:themeTint="80"/>
      <w:sz w:val="20"/>
      <w:szCs w:val="20"/>
      <w:vertAlign w:val="subscript"/>
    </w:rPr>
  </w:style>
  <w:style w:type="character" w:customStyle="1" w:styleId="Serifitalicsuperscriptsemibold">
    <w:name w:val="Serif italic superscript semi bold"/>
    <w:rsid w:val="00E8163D"/>
    <w:rPr>
      <w:rFonts w:ascii="Times New Roman" w:hAnsi="Times New Roman"/>
      <w:b/>
      <w:i/>
      <w:color w:val="7F7F7F" w:themeColor="text1" w:themeTint="80"/>
      <w:sz w:val="20"/>
      <w:szCs w:val="20"/>
      <w:vertAlign w:val="superscript"/>
    </w:rPr>
  </w:style>
  <w:style w:type="paragraph" w:customStyle="1" w:styleId="HeadingCodesFM">
    <w:name w:val="Heading_Codes_FM"/>
    <w:uiPriority w:val="1"/>
    <w:rsid w:val="00E8163D"/>
    <w:pPr>
      <w:tabs>
        <w:tab w:val="left" w:pos="2040"/>
      </w:tabs>
      <w:ind w:left="3840" w:hanging="3840"/>
    </w:pPr>
    <w:rPr>
      <w:rFonts w:ascii="Verdana" w:eastAsiaTheme="minorHAnsi" w:hAnsi="Verdana" w:cstheme="majorBidi"/>
      <w:b/>
      <w:color w:val="000000"/>
      <w:szCs w:val="28"/>
      <w:lang w:val="en-GB"/>
    </w:rPr>
  </w:style>
  <w:style w:type="paragraph" w:customStyle="1" w:styleId="Footnote">
    <w:name w:val="Footnote"/>
    <w:basedOn w:val="Normal"/>
    <w:uiPriority w:val="1"/>
    <w:rsid w:val="00E8163D"/>
    <w:rPr>
      <w:sz w:val="16"/>
    </w:rPr>
  </w:style>
  <w:style w:type="character" w:customStyle="1" w:styleId="Stixsuperscript">
    <w:name w:val="Stix superscript"/>
    <w:rsid w:val="00E8163D"/>
    <w:rPr>
      <w:rFonts w:ascii="STIX Math" w:hAnsi="STIX Math"/>
      <w:spacing w:val="0"/>
      <w:vertAlign w:val="superscript"/>
    </w:rPr>
  </w:style>
  <w:style w:type="character" w:customStyle="1" w:styleId="Stixsubscript">
    <w:name w:val="Stix subscript"/>
    <w:rsid w:val="00E8163D"/>
    <w:rPr>
      <w:rFonts w:ascii="STIX Math" w:hAnsi="STIX Math"/>
      <w:spacing w:val="0"/>
      <w:vertAlign w:val="subscript"/>
    </w:rPr>
  </w:style>
  <w:style w:type="character" w:customStyle="1" w:styleId="Stixitalicsuperscript">
    <w:name w:val="Stix italic superscript"/>
    <w:rsid w:val="00E8163D"/>
    <w:rPr>
      <w:rFonts w:ascii="STIX Math" w:hAnsi="STIX Math"/>
      <w:i/>
      <w:spacing w:val="0"/>
      <w:vertAlign w:val="superscript"/>
    </w:rPr>
  </w:style>
  <w:style w:type="character" w:customStyle="1" w:styleId="Stixitalicsubscript">
    <w:name w:val="Stix italic subscript"/>
    <w:rsid w:val="00E8163D"/>
    <w:rPr>
      <w:rFonts w:ascii="STIX Math" w:hAnsi="STIX Math"/>
      <w:i/>
      <w:spacing w:val="0"/>
      <w:vertAlign w:val="subscript"/>
    </w:rPr>
  </w:style>
  <w:style w:type="character" w:customStyle="1" w:styleId="Hairspacenobreak">
    <w:name w:val="Hairspace_no_break"/>
    <w:rsid w:val="00E8163D"/>
    <w:rPr>
      <w:spacing w:val="0"/>
      <w:bdr w:val="dotted" w:sz="2" w:space="0" w:color="auto"/>
    </w:rPr>
  </w:style>
  <w:style w:type="paragraph" w:customStyle="1" w:styleId="Heading2NOToC">
    <w:name w:val="Heading_2_NO_ToC"/>
    <w:basedOn w:val="Normal"/>
    <w:rsid w:val="00E8163D"/>
    <w:pPr>
      <w:keepNext/>
      <w:spacing w:before="240" w:after="240" w:line="240" w:lineRule="exact"/>
      <w:ind w:left="1124" w:hanging="1124"/>
    </w:pPr>
    <w:rPr>
      <w:b/>
    </w:rPr>
  </w:style>
  <w:style w:type="paragraph" w:customStyle="1" w:styleId="Heading3NOToC">
    <w:name w:val="Heading_3_NO_ToC"/>
    <w:basedOn w:val="Heading30"/>
    <w:qFormat/>
    <w:rsid w:val="00E8163D"/>
  </w:style>
  <w:style w:type="paragraph" w:customStyle="1" w:styleId="Chaptersubhead">
    <w:name w:val="Chapter_subhead"/>
    <w:basedOn w:val="Normal"/>
    <w:rsid w:val="00E8163D"/>
    <w:pPr>
      <w:spacing w:after="240"/>
    </w:pPr>
    <w:rPr>
      <w:i/>
      <w:sz w:val="22"/>
    </w:rPr>
  </w:style>
  <w:style w:type="paragraph" w:customStyle="1" w:styleId="Indent1note">
    <w:name w:val="Indent 1_note"/>
    <w:basedOn w:val="Normal"/>
    <w:rsid w:val="00E8163D"/>
    <w:pPr>
      <w:tabs>
        <w:tab w:val="left" w:pos="1200"/>
      </w:tabs>
      <w:spacing w:after="240"/>
      <w:ind w:left="480"/>
    </w:pPr>
    <w:rPr>
      <w:sz w:val="16"/>
    </w:rPr>
  </w:style>
  <w:style w:type="paragraph" w:customStyle="1" w:styleId="Headingcentred">
    <w:name w:val="Heading_centred"/>
    <w:basedOn w:val="Normal"/>
    <w:rsid w:val="00E8163D"/>
  </w:style>
  <w:style w:type="paragraph" w:customStyle="1" w:styleId="Tablebodyshaded">
    <w:name w:val="Table body shaded"/>
    <w:basedOn w:val="Normal"/>
    <w:rsid w:val="00E8163D"/>
    <w:rPr>
      <w:sz w:val="18"/>
    </w:rPr>
  </w:style>
  <w:style w:type="paragraph" w:customStyle="1" w:styleId="bracket">
    <w:name w:val="bracket"/>
    <w:basedOn w:val="Tablebody"/>
    <w:uiPriority w:val="1"/>
    <w:qFormat/>
    <w:rsid w:val="00E8163D"/>
  </w:style>
  <w:style w:type="character" w:customStyle="1" w:styleId="tablerownobreak">
    <w:name w:val="table row no break"/>
    <w:qFormat/>
    <w:rsid w:val="00E8163D"/>
    <w:rPr>
      <w:color w:val="FF33CC"/>
      <w:bdr w:val="single" w:sz="8" w:space="0" w:color="FF33CC"/>
    </w:rPr>
  </w:style>
  <w:style w:type="paragraph" w:customStyle="1" w:styleId="Tablebracket">
    <w:name w:val="Table bracket"/>
    <w:basedOn w:val="Tablebody"/>
    <w:qFormat/>
    <w:rsid w:val="00E8163D"/>
  </w:style>
  <w:style w:type="paragraph" w:customStyle="1" w:styleId="Notespacebefore">
    <w:name w:val="Note space before"/>
    <w:qFormat/>
    <w:rsid w:val="00E8163D"/>
    <w:pPr>
      <w:spacing w:before="240" w:after="200" w:line="276" w:lineRule="auto"/>
    </w:pPr>
    <w:rPr>
      <w:rFonts w:ascii="Verdana" w:eastAsia="Arial" w:hAnsi="Verdana" w:cs="Arial"/>
      <w:color w:val="000000" w:themeColor="text1"/>
      <w:sz w:val="16"/>
      <w:szCs w:val="22"/>
      <w:lang w:val="en-GB" w:eastAsia="en-US"/>
    </w:rPr>
  </w:style>
  <w:style w:type="paragraph" w:customStyle="1" w:styleId="Tablebodytrackingminus10">
    <w:name w:val="Table body tracking minus 10"/>
    <w:basedOn w:val="Normal"/>
    <w:uiPriority w:val="1"/>
    <w:rsid w:val="00E8163D"/>
    <w:rPr>
      <w:rFonts w:cs="Arial"/>
      <w:color w:val="1A1A1A"/>
      <w:spacing w:val="-6"/>
      <w:w w:val="99"/>
      <w:sz w:val="18"/>
      <w:szCs w:val="25"/>
    </w:rPr>
  </w:style>
  <w:style w:type="paragraph" w:customStyle="1" w:styleId="THEENDlandscape">
    <w:name w:val="THE END _____ landscape"/>
    <w:basedOn w:val="Normal"/>
    <w:rsid w:val="00E8163D"/>
    <w:pPr>
      <w:pBdr>
        <w:top w:val="single" w:sz="2" w:space="1" w:color="auto"/>
        <w:left w:val="single" w:sz="2" w:space="4" w:color="auto"/>
        <w:bottom w:val="single" w:sz="2" w:space="1" w:color="auto"/>
        <w:right w:val="single" w:sz="2" w:space="4" w:color="auto"/>
      </w:pBdr>
      <w:shd w:val="clear" w:color="auto" w:fill="7F7F7F" w:themeFill="text1" w:themeFillTint="80"/>
      <w:spacing w:before="480" w:after="120" w:line="14" w:lineRule="exact"/>
      <w:ind w:left="3997" w:right="3997"/>
      <w:jc w:val="center"/>
    </w:pPr>
  </w:style>
  <w:style w:type="paragraph" w:customStyle="1" w:styleId="THEENDNOspacebeforelandscape">
    <w:name w:val="THE END _____ NO space before landscape"/>
    <w:basedOn w:val="Normal"/>
    <w:rsid w:val="00E8163D"/>
    <w:pPr>
      <w:pBdr>
        <w:top w:val="single" w:sz="2" w:space="1" w:color="auto"/>
        <w:left w:val="single" w:sz="2" w:space="4" w:color="auto"/>
        <w:bottom w:val="single" w:sz="2" w:space="1" w:color="auto"/>
        <w:right w:val="single" w:sz="2" w:space="4" w:color="auto"/>
      </w:pBdr>
      <w:shd w:val="solid" w:color="auto" w:fill="auto"/>
      <w:spacing w:before="240" w:after="120" w:line="14" w:lineRule="exact"/>
      <w:ind w:left="3997" w:right="3997"/>
      <w:jc w:val="center"/>
    </w:pPr>
  </w:style>
  <w:style w:type="paragraph" w:customStyle="1" w:styleId="Heading1NOindent">
    <w:name w:val="Heading_1 NO indent"/>
    <w:basedOn w:val="Heading1NOToC"/>
    <w:qFormat/>
    <w:rsid w:val="00E8163D"/>
    <w:pPr>
      <w:ind w:left="0" w:firstLine="0"/>
    </w:pPr>
    <w:rPr>
      <w:lang w:val="en-US"/>
    </w:rPr>
  </w:style>
  <w:style w:type="paragraph" w:customStyle="1" w:styleId="Covertitle0">
    <w:name w:val="Cover title"/>
    <w:basedOn w:val="Normal"/>
    <w:uiPriority w:val="1"/>
    <w:rsid w:val="00E8163D"/>
  </w:style>
  <w:style w:type="paragraph" w:customStyle="1" w:styleId="OversetWarningHead">
    <w:name w:val="Overset Warning Head"/>
    <w:basedOn w:val="Normal"/>
    <w:rsid w:val="00E8163D"/>
  </w:style>
  <w:style w:type="paragraph" w:customStyle="1" w:styleId="OversetWarningDetails">
    <w:name w:val="Overset Warning Details"/>
    <w:basedOn w:val="Normal"/>
    <w:rsid w:val="00E8163D"/>
  </w:style>
  <w:style w:type="paragraph" w:customStyle="1" w:styleId="TableastextNOspace">
    <w:name w:val="Table as text NO space"/>
    <w:basedOn w:val="Normal"/>
    <w:rsid w:val="00E8163D"/>
    <w:pPr>
      <w:spacing w:line="240" w:lineRule="exact"/>
    </w:pPr>
  </w:style>
  <w:style w:type="paragraph" w:customStyle="1" w:styleId="ToCCODES1">
    <w:name w:val="ToC CODES 1"/>
    <w:basedOn w:val="Normal"/>
    <w:uiPriority w:val="1"/>
    <w:rsid w:val="00E8163D"/>
  </w:style>
  <w:style w:type="paragraph" w:customStyle="1" w:styleId="ToCCODES2">
    <w:name w:val="ToC CODES 2"/>
    <w:basedOn w:val="Normal"/>
    <w:uiPriority w:val="1"/>
    <w:rsid w:val="00E8163D"/>
  </w:style>
  <w:style w:type="paragraph" w:customStyle="1" w:styleId="ToCCODES3">
    <w:name w:val="ToC CODES 3"/>
    <w:basedOn w:val="Normal"/>
    <w:uiPriority w:val="1"/>
    <w:rsid w:val="00E8163D"/>
  </w:style>
  <w:style w:type="character" w:customStyle="1" w:styleId="Hairspacebreak">
    <w:name w:val="Hairspace_break"/>
    <w:rsid w:val="00E8163D"/>
    <w:rPr>
      <w:bdr w:val="single" w:sz="4" w:space="0" w:color="00B0F0"/>
    </w:rPr>
  </w:style>
  <w:style w:type="character" w:customStyle="1" w:styleId="StixMath">
    <w:name w:val="Stix Math"/>
    <w:rsid w:val="00E8163D"/>
  </w:style>
  <w:style w:type="paragraph" w:customStyle="1" w:styleId="Figurecaptionspaceafter">
    <w:name w:val="Figure caption space after"/>
    <w:basedOn w:val="Figurecaption"/>
    <w:qFormat/>
    <w:rsid w:val="00E8163D"/>
  </w:style>
  <w:style w:type="paragraph" w:customStyle="1" w:styleId="Heading1NOTocNOindent">
    <w:name w:val="Heading_1 NO Toc NO indent"/>
    <w:next w:val="Bodytext"/>
    <w:rsid w:val="00E8163D"/>
    <w:pPr>
      <w:keepNext/>
      <w:spacing w:before="480" w:after="240" w:line="240" w:lineRule="exact"/>
    </w:pPr>
    <w:rPr>
      <w:rFonts w:ascii="Verdana" w:eastAsiaTheme="minorHAnsi" w:hAnsi="Verdana" w:cstheme="majorBidi"/>
      <w:b/>
      <w:color w:val="000000" w:themeColor="text1"/>
      <w:lang w:val="en-GB"/>
    </w:rPr>
  </w:style>
  <w:style w:type="character" w:styleId="BookTitle">
    <w:name w:val="Book Title"/>
    <w:basedOn w:val="DefaultParagraphFont"/>
    <w:uiPriority w:val="1"/>
    <w:qFormat/>
    <w:rsid w:val="00E8163D"/>
    <w:rPr>
      <w:b/>
      <w:bCs/>
      <w:smallCaps/>
      <w:spacing w:val="5"/>
    </w:rPr>
  </w:style>
  <w:style w:type="paragraph" w:customStyle="1" w:styleId="Tablebodycentredtrackingminus10">
    <w:name w:val="Table body centred tracking minus 10"/>
    <w:uiPriority w:val="1"/>
    <w:qFormat/>
    <w:rsid w:val="00E8163D"/>
    <w:pPr>
      <w:spacing w:line="220" w:lineRule="exact"/>
      <w:jc w:val="center"/>
    </w:pPr>
    <w:rPr>
      <w:rFonts w:ascii="Verdana" w:eastAsiaTheme="minorHAnsi" w:hAnsi="Verdana" w:cstheme="majorBidi"/>
      <w:color w:val="000000" w:themeColor="text1"/>
      <w:spacing w:val="-6"/>
      <w:w w:val="99"/>
      <w:sz w:val="18"/>
      <w:lang w:val="en-GB"/>
    </w:rPr>
  </w:style>
  <w:style w:type="character" w:customStyle="1" w:styleId="Enspace">
    <w:name w:val="En space"/>
    <w:uiPriority w:val="1"/>
    <w:rsid w:val="00E8163D"/>
    <w:rPr>
      <w:bdr w:val="single" w:sz="4" w:space="0" w:color="auto"/>
      <w:lang w:val="fr-FR"/>
    </w:rPr>
  </w:style>
  <w:style w:type="paragraph" w:customStyle="1" w:styleId="Titledividerpage">
    <w:name w:val="Title divider page"/>
    <w:qFormat/>
    <w:rsid w:val="00E8163D"/>
    <w:pPr>
      <w:spacing w:after="200"/>
    </w:pPr>
    <w:rPr>
      <w:rFonts w:ascii="Verdana" w:eastAsiaTheme="minorHAnsi" w:hAnsi="Verdana" w:cstheme="majorBidi"/>
      <w:b/>
      <w:color w:val="000000" w:themeColor="text1"/>
      <w:sz w:val="34"/>
      <w:lang w:val="fr-CH"/>
    </w:rPr>
  </w:style>
  <w:style w:type="paragraph" w:customStyle="1" w:styleId="TPSSection">
    <w:name w:val="TPS Section"/>
    <w:basedOn w:val="TPSMarkupBase"/>
    <w:next w:val="Normal"/>
    <w:uiPriority w:val="1"/>
    <w:rsid w:val="00E8163D"/>
    <w:pPr>
      <w:pBdr>
        <w:top w:val="single" w:sz="4" w:space="3" w:color="auto"/>
      </w:pBdr>
      <w:shd w:val="clear" w:color="auto" w:fill="87A982"/>
    </w:pPr>
    <w:rPr>
      <w:b/>
    </w:rPr>
  </w:style>
  <w:style w:type="paragraph" w:customStyle="1" w:styleId="TPSMarkupBase">
    <w:name w:val="TPS Markup Base"/>
    <w:uiPriority w:val="1"/>
    <w:rsid w:val="00E8163D"/>
    <w:pPr>
      <w:spacing w:line="300" w:lineRule="auto"/>
    </w:pPr>
    <w:rPr>
      <w:rFonts w:ascii="Arial" w:eastAsia="Times New Roman" w:hAnsi="Arial"/>
      <w:color w:val="2F275B"/>
      <w:sz w:val="18"/>
      <w:szCs w:val="24"/>
      <w:lang w:eastAsia="en-US"/>
    </w:rPr>
  </w:style>
  <w:style w:type="paragraph" w:customStyle="1" w:styleId="TPSSectionData">
    <w:name w:val="TPS Section Data"/>
    <w:basedOn w:val="TPSMarkupBase"/>
    <w:next w:val="Normal"/>
    <w:uiPriority w:val="1"/>
    <w:rsid w:val="00E8163D"/>
    <w:pPr>
      <w:shd w:val="clear" w:color="auto" w:fill="87A982"/>
    </w:pPr>
  </w:style>
  <w:style w:type="character" w:customStyle="1" w:styleId="SerifSemiBoldItalic">
    <w:name w:val="Serif Semi Bold Italic"/>
    <w:uiPriority w:val="99"/>
    <w:rsid w:val="00E8163D"/>
    <w:rPr>
      <w:rFonts w:ascii="StoneSerif-SemiboldItalic" w:hAnsi="StoneSerif-SemiboldItalic" w:cs="StoneSerif-SemiboldItalic"/>
      <w:i/>
      <w:iCs/>
      <w:u w:val="none"/>
    </w:rPr>
  </w:style>
  <w:style w:type="character" w:customStyle="1" w:styleId="SansSerif">
    <w:name w:val="Sans Serif"/>
    <w:uiPriority w:val="99"/>
    <w:rsid w:val="00E8163D"/>
    <w:rPr>
      <w:rFonts w:ascii="StoneSans" w:hAnsi="StoneSans" w:cs="StoneSans"/>
    </w:rPr>
  </w:style>
  <w:style w:type="character" w:customStyle="1" w:styleId="SansSemiBold">
    <w:name w:val="Sans Semi Bold"/>
    <w:uiPriority w:val="99"/>
    <w:rsid w:val="00E8163D"/>
    <w:rPr>
      <w:rFonts w:ascii="StoneSans-Semibold" w:hAnsi="StoneSans-Semibold" w:cs="StoneSans-Semibold"/>
      <w:w w:val="100"/>
      <w:position w:val="0"/>
      <w:u w:val="none"/>
      <w:vertAlign w:val="baseline"/>
      <w:lang w:val="en-GB"/>
    </w:rPr>
  </w:style>
  <w:style w:type="paragraph" w:customStyle="1" w:styleId="TPSTable">
    <w:name w:val="TPS Table"/>
    <w:basedOn w:val="Normal"/>
    <w:next w:val="Normal"/>
    <w:uiPriority w:val="1"/>
    <w:rsid w:val="00E8163D"/>
    <w:pPr>
      <w:pBdr>
        <w:top w:val="single" w:sz="2" w:space="3" w:color="auto"/>
      </w:pBdr>
      <w:shd w:val="clear" w:color="auto" w:fill="C0AB87"/>
      <w:spacing w:line="300" w:lineRule="auto"/>
    </w:pPr>
    <w:rPr>
      <w:rFonts w:ascii="Arial" w:eastAsia="Times New Roman" w:hAnsi="Arial" w:cs="Times New Roman"/>
      <w:b/>
      <w:color w:val="2F275B"/>
      <w:sz w:val="18"/>
      <w:szCs w:val="24"/>
    </w:rPr>
  </w:style>
  <w:style w:type="paragraph" w:customStyle="1" w:styleId="TPSElement">
    <w:name w:val="TPS Element"/>
    <w:basedOn w:val="TPSMarkupBase"/>
    <w:next w:val="Normal"/>
    <w:uiPriority w:val="1"/>
    <w:rsid w:val="00E8163D"/>
    <w:pPr>
      <w:pBdr>
        <w:top w:val="single" w:sz="2" w:space="3" w:color="auto"/>
      </w:pBdr>
      <w:shd w:val="clear" w:color="auto" w:fill="C9D5B3"/>
    </w:pPr>
    <w:rPr>
      <w:b/>
    </w:rPr>
  </w:style>
  <w:style w:type="paragraph" w:customStyle="1" w:styleId="TPSElementData">
    <w:name w:val="TPS Element Data"/>
    <w:basedOn w:val="TPSMarkupBase"/>
    <w:next w:val="Normal"/>
    <w:uiPriority w:val="1"/>
    <w:rsid w:val="00E8163D"/>
    <w:pPr>
      <w:shd w:val="clear" w:color="auto" w:fill="C9D5B3"/>
    </w:pPr>
  </w:style>
  <w:style w:type="paragraph" w:customStyle="1" w:styleId="TPSElementEnd">
    <w:name w:val="TPS Element End"/>
    <w:basedOn w:val="TPSMarkupBase"/>
    <w:next w:val="Normal"/>
    <w:uiPriority w:val="1"/>
    <w:rsid w:val="00E8163D"/>
    <w:pPr>
      <w:pBdr>
        <w:bottom w:val="single" w:sz="2" w:space="1" w:color="auto"/>
      </w:pBdr>
      <w:shd w:val="clear" w:color="auto" w:fill="C9D5B3"/>
    </w:pPr>
    <w:rPr>
      <w:b/>
    </w:rPr>
  </w:style>
  <w:style w:type="paragraph" w:customStyle="1" w:styleId="ChapterheadNospace">
    <w:name w:val="Chapter head + No space"/>
    <w:basedOn w:val="Chapterhead"/>
    <w:uiPriority w:val="99"/>
    <w:rsid w:val="00E8163D"/>
    <w:pPr>
      <w:keepNext w:val="0"/>
      <w:widowControl w:val="0"/>
      <w:tabs>
        <w:tab w:val="center" w:pos="4700"/>
      </w:tabs>
      <w:suppressAutoHyphens/>
      <w:autoSpaceDE w:val="0"/>
      <w:autoSpaceDN w:val="0"/>
      <w:adjustRightInd w:val="0"/>
      <w:spacing w:after="0" w:line="280" w:lineRule="atLeast"/>
      <w:textAlignment w:val="center"/>
      <w:outlineLvl w:val="9"/>
    </w:pPr>
    <w:rPr>
      <w:rFonts w:ascii="StoneSans-Bold" w:eastAsiaTheme="minorEastAsia" w:hAnsi="StoneSans-Bold" w:cs="StoneSans-Bold"/>
      <w:bCs/>
      <w:color w:val="000000"/>
      <w:w w:val="95"/>
      <w:szCs w:val="24"/>
    </w:rPr>
  </w:style>
  <w:style w:type="paragraph" w:customStyle="1" w:styleId="Body">
    <w:name w:val="Body"/>
    <w:basedOn w:val="Normal"/>
    <w:uiPriority w:val="99"/>
    <w:rsid w:val="00E8163D"/>
    <w:pPr>
      <w:widowControl w:val="0"/>
      <w:tabs>
        <w:tab w:val="left" w:pos="1134"/>
      </w:tabs>
      <w:suppressAutoHyphens/>
      <w:autoSpaceDE w:val="0"/>
      <w:autoSpaceDN w:val="0"/>
      <w:adjustRightInd w:val="0"/>
      <w:spacing w:after="170" w:line="240" w:lineRule="atLeast"/>
      <w:textAlignment w:val="center"/>
    </w:pPr>
    <w:rPr>
      <w:rFonts w:ascii="StoneSans" w:eastAsiaTheme="minorEastAsia" w:hAnsi="StoneSans" w:cs="StoneSans"/>
      <w:color w:val="000000"/>
      <w:lang w:eastAsia="en-US"/>
    </w:rPr>
  </w:style>
  <w:style w:type="paragraph" w:customStyle="1" w:styleId="Head1">
    <w:name w:val="Head 1"/>
    <w:basedOn w:val="Body"/>
    <w:next w:val="Normal"/>
    <w:uiPriority w:val="99"/>
    <w:rsid w:val="00E8163D"/>
    <w:pPr>
      <w:spacing w:before="480" w:after="240"/>
      <w:ind w:left="1134" w:hanging="1134"/>
    </w:pPr>
    <w:rPr>
      <w:rFonts w:ascii="StoneSans-Bold" w:hAnsi="StoneSans-Bold" w:cs="StoneSans-Bold"/>
      <w:b/>
      <w:bCs/>
    </w:rPr>
  </w:style>
  <w:style w:type="paragraph" w:customStyle="1" w:styleId="Notespace">
    <w:name w:val="Note + space"/>
    <w:basedOn w:val="Note"/>
    <w:uiPriority w:val="99"/>
    <w:rsid w:val="00E8163D"/>
    <w:pPr>
      <w:widowControl w:val="0"/>
      <w:tabs>
        <w:tab w:val="clear" w:pos="720"/>
        <w:tab w:val="left" w:pos="850"/>
      </w:tabs>
      <w:suppressAutoHyphens/>
      <w:autoSpaceDE w:val="0"/>
      <w:autoSpaceDN w:val="0"/>
      <w:adjustRightInd w:val="0"/>
      <w:spacing w:line="200" w:lineRule="atLeast"/>
      <w:textAlignment w:val="center"/>
    </w:pPr>
    <w:rPr>
      <w:rFonts w:ascii="StoneSans" w:eastAsiaTheme="minorEastAsia" w:hAnsi="StoneSans" w:cs="StoneSans"/>
      <w:color w:val="000000"/>
      <w:szCs w:val="16"/>
    </w:rPr>
  </w:style>
  <w:style w:type="paragraph" w:customStyle="1" w:styleId="Indent1space">
    <w:name w:val="Indent 1 + space"/>
    <w:basedOn w:val="Body"/>
    <w:uiPriority w:val="99"/>
    <w:rsid w:val="00E8163D"/>
    <w:pPr>
      <w:spacing w:after="240"/>
      <w:ind w:left="480" w:hanging="480"/>
    </w:pPr>
  </w:style>
  <w:style w:type="paragraph" w:customStyle="1" w:styleId="Note1">
    <w:name w:val="Note (1)"/>
    <w:basedOn w:val="Body"/>
    <w:uiPriority w:val="99"/>
    <w:rsid w:val="00E8163D"/>
    <w:pPr>
      <w:spacing w:after="0" w:line="200" w:lineRule="atLeast"/>
      <w:ind w:left="400" w:hanging="400"/>
    </w:pPr>
    <w:rPr>
      <w:sz w:val="16"/>
      <w:szCs w:val="16"/>
    </w:rPr>
  </w:style>
  <w:style w:type="paragraph" w:customStyle="1" w:styleId="Note1Space">
    <w:name w:val="Note (1) Space"/>
    <w:basedOn w:val="Body"/>
    <w:uiPriority w:val="99"/>
    <w:rsid w:val="00E8163D"/>
    <w:pPr>
      <w:spacing w:after="240" w:line="200" w:lineRule="atLeast"/>
      <w:ind w:left="400" w:hanging="400"/>
      <w:jc w:val="both"/>
    </w:pPr>
    <w:rPr>
      <w:sz w:val="16"/>
      <w:szCs w:val="16"/>
    </w:rPr>
  </w:style>
  <w:style w:type="paragraph" w:customStyle="1" w:styleId="Indent1BODY">
    <w:name w:val="Indent 1 (BODY)"/>
    <w:basedOn w:val="Normal"/>
    <w:next w:val="Normal"/>
    <w:uiPriority w:val="99"/>
    <w:rsid w:val="00E8163D"/>
    <w:pPr>
      <w:widowControl w:val="0"/>
      <w:tabs>
        <w:tab w:val="left" w:pos="480"/>
      </w:tabs>
      <w:suppressAutoHyphens/>
      <w:autoSpaceDE w:val="0"/>
      <w:autoSpaceDN w:val="0"/>
      <w:adjustRightInd w:val="0"/>
      <w:spacing w:after="240" w:line="240" w:lineRule="atLeast"/>
      <w:ind w:left="480" w:hanging="480"/>
      <w:textAlignment w:val="center"/>
    </w:pPr>
    <w:rPr>
      <w:rFonts w:ascii="StoneSansITC-Medium" w:eastAsiaTheme="minorEastAsia" w:hAnsi="StoneSansITC-Medium" w:cs="StoneSansITC-Medium"/>
      <w:color w:val="000000"/>
      <w:lang w:eastAsia="en-US"/>
    </w:rPr>
  </w:style>
  <w:style w:type="paragraph" w:customStyle="1" w:styleId="ChaptersubheadHEADINGS">
    <w:name w:val="Chapter_subhead (HEADINGS)"/>
    <w:basedOn w:val="Normal"/>
    <w:next w:val="Normal"/>
    <w:uiPriority w:val="99"/>
    <w:rsid w:val="00E8163D"/>
    <w:pPr>
      <w:widowControl w:val="0"/>
      <w:tabs>
        <w:tab w:val="left" w:pos="1120"/>
      </w:tabs>
      <w:suppressAutoHyphens/>
      <w:autoSpaceDE w:val="0"/>
      <w:autoSpaceDN w:val="0"/>
      <w:adjustRightInd w:val="0"/>
      <w:spacing w:before="240" w:after="240" w:line="240" w:lineRule="atLeast"/>
      <w:textAlignment w:val="center"/>
    </w:pPr>
    <w:rPr>
      <w:rFonts w:ascii="StoneSansITC-MediumItalic" w:eastAsiaTheme="minorEastAsia" w:hAnsi="StoneSansITC-MediumItalic" w:cs="StoneSansITC-MediumItalic"/>
      <w:i/>
      <w:iCs/>
      <w:color w:val="000000"/>
      <w:lang w:eastAsia="en-US"/>
    </w:rPr>
  </w:style>
  <w:style w:type="paragraph" w:customStyle="1" w:styleId="HeadingRevisiontable">
    <w:name w:val="Heading_Revision_table"/>
    <w:basedOn w:val="Normal"/>
    <w:rsid w:val="00E8163D"/>
  </w:style>
  <w:style w:type="paragraph" w:customStyle="1" w:styleId="Keepnextbodytext">
    <w:name w:val="Keep_next_body_text"/>
    <w:basedOn w:val="Normal"/>
    <w:rsid w:val="00E8163D"/>
  </w:style>
  <w:style w:type="paragraph" w:customStyle="1" w:styleId="Footnotebeforetable">
    <w:name w:val="Footnote before table"/>
    <w:basedOn w:val="Normal"/>
    <w:rsid w:val="00E8163D"/>
  </w:style>
  <w:style w:type="paragraph" w:customStyle="1" w:styleId="Footnoteaftertable">
    <w:name w:val="Footnote after table"/>
    <w:basedOn w:val="Normal"/>
    <w:rsid w:val="00E8163D"/>
  </w:style>
  <w:style w:type="paragraph" w:customStyle="1" w:styleId="Tablenarrow2">
    <w:name w:val="Table narrow2"/>
    <w:basedOn w:val="Normal"/>
    <w:uiPriority w:val="1"/>
    <w:rsid w:val="00E8163D"/>
  </w:style>
  <w:style w:type="paragraph" w:customStyle="1" w:styleId="Tablenarrrow">
    <w:name w:val="Table narrrow"/>
    <w:basedOn w:val="Normal"/>
    <w:uiPriority w:val="1"/>
    <w:rsid w:val="00E8163D"/>
  </w:style>
  <w:style w:type="paragraph" w:customStyle="1" w:styleId="Tableshadeddivider">
    <w:name w:val="Table shaded divider"/>
    <w:basedOn w:val="Normal"/>
    <w:rsid w:val="00E8163D"/>
  </w:style>
  <w:style w:type="paragraph" w:customStyle="1" w:styleId="TOC3digit">
    <w:name w:val="TOC 3 digit"/>
    <w:basedOn w:val="Normal"/>
    <w:uiPriority w:val="1"/>
    <w:rsid w:val="00E8163D"/>
  </w:style>
  <w:style w:type="paragraph" w:customStyle="1" w:styleId="TOC1digitlong">
    <w:name w:val="TOC 1 digit long"/>
    <w:basedOn w:val="Normal"/>
    <w:uiPriority w:val="1"/>
    <w:rsid w:val="00E8163D"/>
  </w:style>
  <w:style w:type="paragraph" w:customStyle="1" w:styleId="TOC2digitlong">
    <w:name w:val="TOC 2 digit long"/>
    <w:basedOn w:val="Normal"/>
    <w:uiPriority w:val="1"/>
    <w:rsid w:val="00E8163D"/>
  </w:style>
  <w:style w:type="paragraph" w:customStyle="1" w:styleId="TOC3digitlong">
    <w:name w:val="TOC 3 digit long"/>
    <w:basedOn w:val="Normal"/>
    <w:uiPriority w:val="1"/>
    <w:rsid w:val="00E8163D"/>
  </w:style>
  <w:style w:type="paragraph" w:customStyle="1" w:styleId="TOCBook1">
    <w:name w:val="TOC Book 1"/>
    <w:basedOn w:val="Normal"/>
    <w:uiPriority w:val="1"/>
    <w:rsid w:val="00E8163D"/>
  </w:style>
  <w:style w:type="paragraph" w:customStyle="1" w:styleId="ToCGuidelines0">
    <w:name w:val="ToC Guidelines 0"/>
    <w:basedOn w:val="Normal"/>
    <w:uiPriority w:val="1"/>
    <w:rsid w:val="00E8163D"/>
  </w:style>
  <w:style w:type="paragraph" w:customStyle="1" w:styleId="ToCGuidelines1">
    <w:name w:val="ToC Guidelines 1"/>
    <w:basedOn w:val="Normal"/>
    <w:uiPriority w:val="1"/>
    <w:rsid w:val="00E8163D"/>
  </w:style>
  <w:style w:type="paragraph" w:customStyle="1" w:styleId="EditorialNoteHeading">
    <w:name w:val="Editorial Note Heading"/>
    <w:basedOn w:val="Normal"/>
    <w:uiPriority w:val="1"/>
    <w:rsid w:val="00E8163D"/>
  </w:style>
  <w:style w:type="paragraph" w:customStyle="1" w:styleId="BoxtextindentExamples">
    <w:name w:val="Box text indent Examples"/>
    <w:basedOn w:val="Normal"/>
    <w:uiPriority w:val="1"/>
    <w:rsid w:val="00E8163D"/>
    <w:pPr>
      <w:tabs>
        <w:tab w:val="left" w:pos="2400"/>
      </w:tabs>
      <w:spacing w:line="220" w:lineRule="exact"/>
      <w:ind w:left="2398" w:hanging="2398"/>
    </w:pPr>
    <w:rPr>
      <w:sz w:val="19"/>
    </w:rPr>
  </w:style>
  <w:style w:type="paragraph" w:customStyle="1" w:styleId="Indent2note">
    <w:name w:val="Indent 2_note"/>
    <w:basedOn w:val="Normal"/>
    <w:rsid w:val="00E8163D"/>
    <w:pPr>
      <w:tabs>
        <w:tab w:val="left" w:pos="1661"/>
      </w:tabs>
      <w:spacing w:after="240"/>
      <w:ind w:left="958"/>
    </w:pPr>
    <w:rPr>
      <w:sz w:val="16"/>
    </w:rPr>
  </w:style>
  <w:style w:type="paragraph" w:customStyle="1" w:styleId="Indent1Notesheading">
    <w:name w:val="Indent 1_Notes heading"/>
    <w:basedOn w:val="Normal"/>
    <w:rsid w:val="00E8163D"/>
    <w:pPr>
      <w:spacing w:line="276" w:lineRule="auto"/>
      <w:ind w:left="482"/>
    </w:pPr>
    <w:rPr>
      <w:sz w:val="16"/>
    </w:rPr>
  </w:style>
  <w:style w:type="paragraph" w:customStyle="1" w:styleId="Indent1Notes1">
    <w:name w:val="Indent 1_Notes 1"/>
    <w:basedOn w:val="Normal"/>
    <w:rsid w:val="00E8163D"/>
    <w:pPr>
      <w:spacing w:after="240"/>
      <w:ind w:left="839" w:hanging="357"/>
    </w:pPr>
    <w:rPr>
      <w:sz w:val="16"/>
    </w:rPr>
  </w:style>
  <w:style w:type="paragraph" w:customStyle="1" w:styleId="Figurecaptiontrackingminus10">
    <w:name w:val="Figure caption tracking minus 10"/>
    <w:basedOn w:val="Normal"/>
    <w:next w:val="Bodytext"/>
    <w:qFormat/>
    <w:rsid w:val="00E8163D"/>
    <w:pPr>
      <w:jc w:val="center"/>
    </w:pPr>
    <w:rPr>
      <w:b/>
      <w:color w:val="595959" w:themeColor="text1" w:themeTint="A6"/>
      <w:spacing w:val="-14"/>
    </w:rPr>
  </w:style>
  <w:style w:type="paragraph" w:customStyle="1" w:styleId="Indent5">
    <w:name w:val="Indent 5"/>
    <w:qFormat/>
    <w:rsid w:val="00E8163D"/>
    <w:pPr>
      <w:tabs>
        <w:tab w:val="left" w:pos="2400"/>
      </w:tabs>
      <w:spacing w:after="240" w:line="240" w:lineRule="exact"/>
      <w:ind w:left="2400" w:hanging="480"/>
    </w:pPr>
    <w:rPr>
      <w:rFonts w:ascii="Verdana" w:eastAsiaTheme="minorHAnsi" w:hAnsi="Verdana" w:cstheme="majorBidi"/>
      <w:color w:val="000000" w:themeColor="text1"/>
      <w:lang w:val="en-GB"/>
    </w:rPr>
  </w:style>
  <w:style w:type="paragraph" w:customStyle="1" w:styleId="Indent5NOspaceafter">
    <w:name w:val="Indent 5 NO space after"/>
    <w:qFormat/>
    <w:rsid w:val="00E8163D"/>
    <w:pPr>
      <w:tabs>
        <w:tab w:val="left" w:pos="2400"/>
      </w:tabs>
      <w:spacing w:line="240" w:lineRule="exact"/>
      <w:ind w:left="2400" w:hanging="480"/>
    </w:pPr>
    <w:rPr>
      <w:rFonts w:ascii="Verdana" w:eastAsiaTheme="minorHAnsi" w:hAnsi="Verdana" w:cstheme="majorBidi"/>
      <w:color w:val="000000" w:themeColor="text1"/>
      <w:lang w:val="en-GB"/>
    </w:rPr>
  </w:style>
  <w:style w:type="paragraph" w:customStyle="1" w:styleId="Indent5semibold">
    <w:name w:val="Indent 5 semibold"/>
    <w:qFormat/>
    <w:rsid w:val="00E8163D"/>
    <w:pPr>
      <w:tabs>
        <w:tab w:val="left" w:pos="2400"/>
      </w:tabs>
      <w:spacing w:after="240" w:line="240" w:lineRule="exact"/>
      <w:ind w:left="2400" w:hanging="480"/>
    </w:pPr>
    <w:rPr>
      <w:rFonts w:ascii="Verdana" w:eastAsiaTheme="minorHAnsi" w:hAnsi="Verdana" w:cstheme="majorBidi"/>
      <w:b/>
      <w:color w:val="7F7F7F" w:themeColor="text1" w:themeTint="80"/>
      <w:lang w:val="en-GB"/>
    </w:rPr>
  </w:style>
  <w:style w:type="paragraph" w:customStyle="1" w:styleId="Indent5semiboldNOspaceafter">
    <w:name w:val="Indent 5 semibold NO space after"/>
    <w:uiPriority w:val="1"/>
    <w:qFormat/>
    <w:rsid w:val="00E8163D"/>
    <w:pPr>
      <w:tabs>
        <w:tab w:val="left" w:pos="2400"/>
      </w:tabs>
      <w:spacing w:line="240" w:lineRule="exact"/>
      <w:ind w:left="2400" w:hanging="480"/>
    </w:pPr>
    <w:rPr>
      <w:rFonts w:ascii="Verdana" w:eastAsiaTheme="minorHAnsi" w:hAnsi="Verdana" w:cstheme="majorBidi"/>
      <w:b/>
      <w:color w:val="7F7F7F" w:themeColor="text1" w:themeTint="80"/>
      <w:lang w:val="en-GB"/>
    </w:rPr>
  </w:style>
  <w:style w:type="paragraph" w:customStyle="1" w:styleId="Keepnextindent1">
    <w:name w:val="Keep_next_indent_1"/>
    <w:basedOn w:val="Normal"/>
    <w:rsid w:val="00E8163D"/>
  </w:style>
  <w:style w:type="paragraph" w:customStyle="1" w:styleId="Indent5semibold0">
    <w:name w:val="Indent 5 semi bold"/>
    <w:basedOn w:val="Normal"/>
    <w:rsid w:val="00E8163D"/>
  </w:style>
  <w:style w:type="paragraph" w:customStyle="1" w:styleId="Indent5semiboldNOspaceafter0">
    <w:name w:val="Indent 5 semi bold NO space after"/>
    <w:basedOn w:val="Normal"/>
    <w:rsid w:val="00E8163D"/>
  </w:style>
  <w:style w:type="paragraph" w:customStyle="1" w:styleId="Tableheadertrackingminus10">
    <w:name w:val="Table header tracking minus 10"/>
    <w:basedOn w:val="Tableheader"/>
    <w:qFormat/>
    <w:rsid w:val="00E8163D"/>
    <w:rPr>
      <w:spacing w:val="-6"/>
      <w:w w:val="99"/>
    </w:rPr>
  </w:style>
  <w:style w:type="paragraph" w:customStyle="1" w:styleId="TOC00Part">
    <w:name w:val="TOC 00 Part"/>
    <w:basedOn w:val="Normal"/>
    <w:uiPriority w:val="1"/>
    <w:rsid w:val="00E8163D"/>
  </w:style>
  <w:style w:type="character" w:customStyle="1" w:styleId="TPSElementRef">
    <w:name w:val="TPS Element Ref"/>
    <w:uiPriority w:val="1"/>
    <w:rsid w:val="008410C9"/>
    <w:rPr>
      <w:rFonts w:ascii="Arial" w:eastAsia="Times New Roman" w:hAnsi="Arial" w:cs="Times New Roman"/>
      <w:b/>
      <w:noProof w:val="0"/>
      <w:color w:val="2F275B"/>
      <w:sz w:val="18"/>
      <w:szCs w:val="24"/>
      <w:shd w:val="clear" w:color="auto" w:fill="C9D5B3"/>
      <w:lang w:val="en-AU" w:eastAsia="en-US"/>
    </w:rPr>
  </w:style>
  <w:style w:type="character" w:customStyle="1" w:styleId="TPSHyperlink">
    <w:name w:val="TPS Hyperlink"/>
    <w:uiPriority w:val="1"/>
    <w:rsid w:val="008410C9"/>
    <w:rPr>
      <w:rFonts w:ascii="Arial" w:eastAsia="Times New Roman" w:hAnsi="Arial" w:cs="Times New Roman"/>
      <w:b/>
      <w:noProof w:val="0"/>
      <w:color w:val="2F275B"/>
      <w:sz w:val="18"/>
      <w:szCs w:val="24"/>
      <w:shd w:val="clear" w:color="auto" w:fill="E1ADB4"/>
      <w:lang w:val="en-AU" w:eastAsia="en-US"/>
    </w:rPr>
  </w:style>
  <w:style w:type="paragraph" w:customStyle="1" w:styleId="CodesbodytextExt">
    <w:name w:val="Codes_body_text_Ext"/>
    <w:basedOn w:val="Normal"/>
    <w:qFormat/>
    <w:rsid w:val="00E8163D"/>
    <w:pPr>
      <w:tabs>
        <w:tab w:val="left" w:pos="1800"/>
      </w:tabs>
      <w:spacing w:after="240" w:line="240" w:lineRule="exact"/>
    </w:pPr>
  </w:style>
  <w:style w:type="paragraph" w:customStyle="1" w:styleId="CodesheadingExt">
    <w:name w:val="Codes_heading_Ext"/>
    <w:basedOn w:val="Normal"/>
    <w:qFormat/>
    <w:rsid w:val="00E8163D"/>
    <w:pPr>
      <w:spacing w:before="240" w:after="240" w:line="240" w:lineRule="exact"/>
      <w:ind w:left="1800" w:hanging="1800"/>
    </w:pPr>
    <w:rPr>
      <w:b/>
    </w:rPr>
  </w:style>
  <w:style w:type="paragraph" w:customStyle="1" w:styleId="Style1">
    <w:name w:val="Style1"/>
    <w:basedOn w:val="Normal"/>
    <w:uiPriority w:val="1"/>
    <w:qFormat/>
    <w:rsid w:val="00E8163D"/>
    <w:rPr>
      <w:b/>
    </w:rPr>
  </w:style>
  <w:style w:type="paragraph" w:customStyle="1" w:styleId="CodesheadingFM">
    <w:name w:val="Codes_heading_FM"/>
    <w:basedOn w:val="Normal"/>
    <w:qFormat/>
    <w:rsid w:val="00E8163D"/>
    <w:pPr>
      <w:tabs>
        <w:tab w:val="left" w:pos="2040"/>
      </w:tabs>
      <w:ind w:left="3840" w:hanging="3840"/>
    </w:pPr>
    <w:rPr>
      <w:b/>
    </w:rPr>
  </w:style>
  <w:style w:type="paragraph" w:customStyle="1" w:styleId="ToCCODES4">
    <w:name w:val="ToC CODES 4"/>
    <w:basedOn w:val="Normal"/>
    <w:uiPriority w:val="1"/>
    <w:rsid w:val="00E8163D"/>
  </w:style>
  <w:style w:type="character" w:customStyle="1" w:styleId="Coveritalic">
    <w:name w:val="Cover_italic"/>
    <w:rsid w:val="00E8163D"/>
  </w:style>
  <w:style w:type="character" w:customStyle="1" w:styleId="Trackingminus10">
    <w:name w:val="Tracking minus 10"/>
    <w:qFormat/>
    <w:rsid w:val="00E8163D"/>
    <w:rPr>
      <w:color w:val="000000" w:themeColor="text1"/>
    </w:rPr>
  </w:style>
  <w:style w:type="character" w:customStyle="1" w:styleId="Highlightblue">
    <w:name w:val="Highlight blue"/>
    <w:uiPriority w:val="1"/>
    <w:qFormat/>
    <w:rsid w:val="00E8163D"/>
    <w:rPr>
      <w:color w:val="auto"/>
      <w:u w:val="none"/>
      <w:bdr w:val="none" w:sz="0" w:space="0" w:color="auto"/>
      <w:shd w:val="clear" w:color="auto" w:fill="B8CCE4" w:themeFill="accent1" w:themeFillTint="66"/>
    </w:rPr>
  </w:style>
  <w:style w:type="character" w:customStyle="1" w:styleId="Highlightyellow">
    <w:name w:val="Highlight yellow"/>
    <w:qFormat/>
    <w:rsid w:val="00E8163D"/>
    <w:rPr>
      <w:color w:val="auto"/>
      <w:u w:val="none"/>
      <w:bdr w:val="none" w:sz="0" w:space="0" w:color="auto"/>
      <w:shd w:val="solid" w:color="FFFF00" w:fill="FFFF00"/>
    </w:rPr>
  </w:style>
  <w:style w:type="paragraph" w:customStyle="1" w:styleId="Courierindent">
    <w:name w:val="Courier indent"/>
    <w:basedOn w:val="Bodytext"/>
    <w:qFormat/>
    <w:rsid w:val="00E8163D"/>
    <w:pPr>
      <w:tabs>
        <w:tab w:val="clear" w:pos="1120"/>
      </w:tabs>
      <w:spacing w:after="220" w:line="240" w:lineRule="auto"/>
      <w:ind w:left="1120" w:hanging="1120"/>
    </w:pPr>
    <w:rPr>
      <w:rFonts w:ascii="Courier" w:hAnsi="Courier"/>
      <w:sz w:val="18"/>
    </w:rPr>
  </w:style>
  <w:style w:type="paragraph" w:customStyle="1" w:styleId="CourierNOspaceafter">
    <w:name w:val="Courier NO space after"/>
    <w:basedOn w:val="Courierindent"/>
    <w:uiPriority w:val="1"/>
    <w:qFormat/>
    <w:rsid w:val="00E8163D"/>
    <w:pPr>
      <w:spacing w:after="0"/>
    </w:pPr>
  </w:style>
  <w:style w:type="character" w:customStyle="1" w:styleId="Highlightviolet">
    <w:name w:val="Highlight violet"/>
    <w:basedOn w:val="DefaultParagraphFont"/>
    <w:qFormat/>
    <w:rsid w:val="00E8163D"/>
    <w:rPr>
      <w:bdr w:val="none" w:sz="0" w:space="0" w:color="auto"/>
      <w:shd w:val="solid" w:color="CCC0D9" w:themeColor="accent4" w:themeTint="66" w:fill="CCC0D9" w:themeFill="accent4" w:themeFillTint="66"/>
    </w:rPr>
  </w:style>
  <w:style w:type="paragraph" w:customStyle="1" w:styleId="Courierboxblueborder">
    <w:name w:val="Courier box blue border"/>
    <w:basedOn w:val="Bodytext"/>
    <w:qFormat/>
    <w:rsid w:val="00E8163D"/>
    <w:pPr>
      <w:pBdr>
        <w:top w:val="single" w:sz="4" w:space="1" w:color="auto"/>
        <w:left w:val="single" w:sz="4" w:space="3" w:color="auto"/>
        <w:bottom w:val="single" w:sz="4" w:space="1" w:color="auto"/>
        <w:right w:val="single" w:sz="4" w:space="3" w:color="auto"/>
      </w:pBdr>
      <w:shd w:val="solid" w:color="B8CCE4" w:themeColor="accent1" w:themeTint="66" w:fill="B8CCE4" w:themeFill="accent1" w:themeFillTint="66"/>
    </w:pPr>
    <w:rPr>
      <w:rFonts w:ascii="Courier" w:hAnsi="Courier"/>
      <w:sz w:val="18"/>
    </w:rPr>
  </w:style>
  <w:style w:type="character" w:customStyle="1" w:styleId="Courier">
    <w:name w:val="Courier"/>
    <w:uiPriority w:val="1"/>
    <w:qFormat/>
    <w:rsid w:val="00E8163D"/>
    <w:rPr>
      <w:rFonts w:ascii="Courier" w:hAnsi="Courier"/>
      <w:sz w:val="18"/>
      <w:bdr w:val="none" w:sz="0" w:space="0" w:color="auto"/>
      <w:shd w:val="clear" w:color="FFFF00" w:fill="auto"/>
    </w:rPr>
  </w:style>
  <w:style w:type="paragraph" w:customStyle="1" w:styleId="Couriershaded">
    <w:name w:val="Courier shaded"/>
    <w:next w:val="Bodytext"/>
    <w:qFormat/>
    <w:rsid w:val="00E8163D"/>
    <w:pPr>
      <w:shd w:val="clear" w:color="auto" w:fill="D9D9D9" w:themeFill="background1" w:themeFillShade="D9"/>
      <w:spacing w:after="200" w:line="276" w:lineRule="auto"/>
    </w:pPr>
    <w:rPr>
      <w:rFonts w:ascii="Courier" w:eastAsiaTheme="minorHAnsi" w:hAnsi="Courier" w:cstheme="majorBidi"/>
      <w:sz w:val="18"/>
      <w:szCs w:val="22"/>
      <w:lang w:val="en-GB"/>
    </w:rPr>
  </w:style>
  <w:style w:type="paragraph" w:customStyle="1" w:styleId="CourireNOspace">
    <w:name w:val="Courire NO space"/>
    <w:basedOn w:val="Courierindent"/>
    <w:uiPriority w:val="1"/>
    <w:qFormat/>
    <w:rsid w:val="00E8163D"/>
    <w:pPr>
      <w:spacing w:after="0"/>
    </w:pPr>
  </w:style>
  <w:style w:type="paragraph" w:customStyle="1" w:styleId="Quotesemibold">
    <w:name w:val="Quote semi bold"/>
    <w:basedOn w:val="Quotes"/>
    <w:qFormat/>
    <w:rsid w:val="00E8163D"/>
    <w:pPr>
      <w:tabs>
        <w:tab w:val="clear" w:pos="1740"/>
      </w:tabs>
      <w:ind w:left="1963" w:right="0" w:hanging="840"/>
    </w:pPr>
    <w:rPr>
      <w:sz w:val="20"/>
    </w:rPr>
  </w:style>
  <w:style w:type="character" w:customStyle="1" w:styleId="NoBreak">
    <w:name w:val="No Break"/>
    <w:qFormat/>
    <w:rsid w:val="00E8163D"/>
    <w:rPr>
      <w:color w:val="606060"/>
      <w:lang w:val="en-GB"/>
    </w:rPr>
  </w:style>
  <w:style w:type="paragraph" w:customStyle="1" w:styleId="Heading2NOindent">
    <w:name w:val="Heading_2 NO indent"/>
    <w:basedOn w:val="Normal"/>
    <w:rsid w:val="00E8163D"/>
  </w:style>
  <w:style w:type="paragraph" w:customStyle="1" w:styleId="CourierindentNOspaceafter">
    <w:name w:val="Courier indent NO space after"/>
    <w:basedOn w:val="Normal"/>
    <w:rsid w:val="00E8163D"/>
  </w:style>
  <w:style w:type="character" w:customStyle="1" w:styleId="Couriercharacter">
    <w:name w:val="Courier character"/>
    <w:rsid w:val="00E8163D"/>
  </w:style>
  <w:style w:type="character" w:customStyle="1" w:styleId="Letterlowercase">
    <w:name w:val="Letter lower case"/>
    <w:rsid w:val="00E8163D"/>
  </w:style>
  <w:style w:type="paragraph" w:styleId="ListParagraph">
    <w:name w:val="List Paragraph"/>
    <w:aliases w:val="CEP Bullet List,Main numbered paragraph,List Paragraph (numbered (a)),Normal 2,List_Paragraph,Multilevel para_II,List Paragraph1,Numbered List Paragraph,Bullets,Colorful List - Accent 11,123 List Paragraph,Bullet"/>
    <w:basedOn w:val="Normal"/>
    <w:link w:val="ListParagraphChar"/>
    <w:uiPriority w:val="34"/>
    <w:qFormat/>
    <w:rsid w:val="008410C9"/>
    <w:pPr>
      <w:spacing w:after="160" w:line="259" w:lineRule="auto"/>
      <w:ind w:left="720"/>
    </w:pPr>
    <w:rPr>
      <w:rFonts w:ascii="Arial" w:eastAsia="SimSun" w:hAnsi="Arial" w:cs="Times New Roman"/>
      <w:sz w:val="22"/>
      <w:szCs w:val="22"/>
      <w:lang w:val="fr-CH"/>
    </w:rPr>
  </w:style>
  <w:style w:type="character" w:styleId="Emphasis">
    <w:name w:val="Emphasis"/>
    <w:uiPriority w:val="20"/>
    <w:qFormat/>
    <w:rsid w:val="008410C9"/>
    <w:rPr>
      <w:i/>
      <w:iCs/>
    </w:rPr>
  </w:style>
  <w:style w:type="paragraph" w:customStyle="1" w:styleId="Default">
    <w:name w:val="Default"/>
    <w:rsid w:val="008410C9"/>
    <w:pPr>
      <w:autoSpaceDE w:val="0"/>
      <w:autoSpaceDN w:val="0"/>
      <w:adjustRightInd w:val="0"/>
    </w:pPr>
    <w:rPr>
      <w:rFonts w:ascii="Arial" w:eastAsiaTheme="minorEastAsia" w:hAnsi="Arial" w:cs="Arial"/>
      <w:color w:val="000000"/>
      <w:sz w:val="24"/>
      <w:szCs w:val="24"/>
      <w:lang w:val="en-GB" w:eastAsia="en-US"/>
    </w:rPr>
  </w:style>
  <w:style w:type="paragraph" w:styleId="TOCHeading">
    <w:name w:val="TOC Heading"/>
    <w:basedOn w:val="Heading1"/>
    <w:next w:val="Normal"/>
    <w:uiPriority w:val="39"/>
    <w:unhideWhenUsed/>
    <w:qFormat/>
    <w:rsid w:val="008410C9"/>
    <w:pPr>
      <w:spacing w:after="160" w:line="259" w:lineRule="auto"/>
      <w:outlineLvl w:val="9"/>
    </w:pPr>
    <w:rPr>
      <w:rFonts w:cstheme="minorBidi"/>
      <w:lang w:val="en-US" w:eastAsia="ja-JP"/>
    </w:rPr>
  </w:style>
  <w:style w:type="paragraph" w:styleId="Caption">
    <w:name w:val="caption"/>
    <w:basedOn w:val="Normal"/>
    <w:next w:val="Normal"/>
    <w:link w:val="CaptionChar"/>
    <w:unhideWhenUsed/>
    <w:qFormat/>
    <w:rsid w:val="008410C9"/>
    <w:pPr>
      <w:spacing w:after="160" w:line="259" w:lineRule="auto"/>
    </w:pPr>
    <w:rPr>
      <w:rFonts w:asciiTheme="minorHAnsi" w:hAnsiTheme="minorHAnsi"/>
      <w:b/>
      <w:bCs/>
      <w:color w:val="4F81BD" w:themeColor="accent1"/>
      <w:sz w:val="18"/>
      <w:szCs w:val="18"/>
      <w:lang w:val="en-CA" w:eastAsia="en-CA"/>
    </w:rPr>
  </w:style>
  <w:style w:type="character" w:styleId="Strong">
    <w:name w:val="Strong"/>
    <w:basedOn w:val="DefaultParagraphFont"/>
    <w:uiPriority w:val="22"/>
    <w:qFormat/>
    <w:rsid w:val="008410C9"/>
    <w:rPr>
      <w:b/>
      <w:bCs/>
    </w:rPr>
  </w:style>
  <w:style w:type="character" w:customStyle="1" w:styleId="PlainTextChar">
    <w:name w:val="Plain Text Char"/>
    <w:basedOn w:val="DefaultParagraphFont"/>
    <w:link w:val="PlainText"/>
    <w:uiPriority w:val="99"/>
    <w:semiHidden/>
    <w:rsid w:val="008410C9"/>
    <w:rPr>
      <w:rFonts w:ascii="Calibri" w:eastAsiaTheme="minorHAnsi" w:hAnsi="Calibri" w:cstheme="minorBidi"/>
      <w:sz w:val="22"/>
      <w:szCs w:val="21"/>
      <w:lang w:val="en-CA" w:eastAsia="en-US"/>
    </w:rPr>
  </w:style>
  <w:style w:type="paragraph" w:styleId="PlainText">
    <w:name w:val="Plain Text"/>
    <w:basedOn w:val="Normal"/>
    <w:link w:val="PlainTextChar"/>
    <w:uiPriority w:val="99"/>
    <w:semiHidden/>
    <w:unhideWhenUsed/>
    <w:rsid w:val="008410C9"/>
    <w:pPr>
      <w:spacing w:after="160" w:line="259" w:lineRule="auto"/>
    </w:pPr>
    <w:rPr>
      <w:rFonts w:ascii="Calibri" w:hAnsi="Calibri" w:cstheme="minorBidi"/>
      <w:sz w:val="22"/>
      <w:szCs w:val="21"/>
      <w:lang w:val="en-CA"/>
    </w:rPr>
  </w:style>
  <w:style w:type="character" w:customStyle="1" w:styleId="st1">
    <w:name w:val="st1"/>
    <w:basedOn w:val="DefaultParagraphFont"/>
    <w:uiPriority w:val="1"/>
    <w:rsid w:val="008410C9"/>
  </w:style>
  <w:style w:type="character" w:customStyle="1" w:styleId="Policepardfaut">
    <w:name w:val="Police par défaut"/>
    <w:uiPriority w:val="1"/>
    <w:rsid w:val="008410C9"/>
  </w:style>
  <w:style w:type="paragraph" w:customStyle="1" w:styleId="Heading">
    <w:name w:val="Heading"/>
    <w:basedOn w:val="Heading1"/>
    <w:uiPriority w:val="1"/>
    <w:rsid w:val="008410C9"/>
    <w:pPr>
      <w:spacing w:after="160" w:line="259" w:lineRule="auto"/>
    </w:pPr>
    <w:rPr>
      <w:rFonts w:cstheme="minorBidi"/>
      <w:lang w:eastAsia="en-US"/>
    </w:rPr>
  </w:style>
  <w:style w:type="paragraph" w:customStyle="1" w:styleId="Pa3">
    <w:name w:val="Pa3"/>
    <w:basedOn w:val="Default"/>
    <w:next w:val="Default"/>
    <w:uiPriority w:val="99"/>
    <w:rsid w:val="008410C9"/>
    <w:pPr>
      <w:spacing w:line="191" w:lineRule="atLeast"/>
    </w:pPr>
    <w:rPr>
      <w:rFonts w:ascii="Stone Sans ITC" w:hAnsi="Stone Sans ITC" w:cstheme="minorBidi"/>
      <w:color w:val="auto"/>
    </w:rPr>
  </w:style>
  <w:style w:type="paragraph" w:customStyle="1" w:styleId="m4480664885252739091msolistparagraph">
    <w:name w:val="m_4480664885252739091msolistparagraph"/>
    <w:basedOn w:val="Normal"/>
    <w:uiPriority w:val="1"/>
    <w:rsid w:val="008410C9"/>
    <w:pPr>
      <w:spacing w:before="100" w:beforeAutospacing="1" w:after="100" w:afterAutospacing="1" w:line="259" w:lineRule="auto"/>
    </w:pPr>
    <w:rPr>
      <w:rFonts w:ascii="Times New Roman" w:eastAsia="Times New Roman" w:hAnsi="Times New Roman" w:cs="Times New Roman"/>
      <w:sz w:val="24"/>
      <w:szCs w:val="24"/>
    </w:rPr>
  </w:style>
  <w:style w:type="paragraph" w:customStyle="1" w:styleId="ChapterheadAnxRef">
    <w:name w:val="Chapter head AnxRef"/>
    <w:basedOn w:val="Chapterhead"/>
    <w:rsid w:val="00E8163D"/>
  </w:style>
  <w:style w:type="paragraph" w:customStyle="1" w:styleId="ChapterheadAnxRefNOToC">
    <w:name w:val="Chapter head AnxRef NO ToC"/>
    <w:basedOn w:val="ChapterheadNOToC"/>
    <w:rsid w:val="00E8163D"/>
  </w:style>
  <w:style w:type="paragraph" w:customStyle="1" w:styleId="Heading2NOTocNOindent">
    <w:name w:val="Heading_2 NO Toc NO indent"/>
    <w:basedOn w:val="Normal"/>
    <w:rsid w:val="00E8163D"/>
  </w:style>
  <w:style w:type="paragraph" w:customStyle="1" w:styleId="TOC0AnxRef">
    <w:name w:val="TOC 0 AnxRef"/>
    <w:basedOn w:val="Normal"/>
    <w:uiPriority w:val="1"/>
    <w:rsid w:val="00E8163D"/>
  </w:style>
  <w:style w:type="paragraph" w:customStyle="1" w:styleId="Heading60">
    <w:name w:val="Heading_6"/>
    <w:basedOn w:val="Heading50"/>
    <w:rsid w:val="00E8163D"/>
    <w:rPr>
      <w:b w:val="0"/>
      <w:color w:val="000000" w:themeColor="text1"/>
    </w:rPr>
  </w:style>
  <w:style w:type="paragraph" w:customStyle="1" w:styleId="Tablebodyongrid">
    <w:name w:val="Table body on grid"/>
    <w:basedOn w:val="Tablebody"/>
    <w:rsid w:val="00E8163D"/>
  </w:style>
  <w:style w:type="character" w:customStyle="1" w:styleId="TPSClickField">
    <w:name w:val="TPS Click Field"/>
    <w:uiPriority w:val="1"/>
    <w:rsid w:val="008410C9"/>
    <w:rPr>
      <w:rFonts w:ascii="Arial" w:eastAsia="Times New Roman" w:hAnsi="Arial" w:cs="Times New Roman"/>
      <w:i/>
      <w:noProof w:val="0"/>
      <w:color w:val="0000FF"/>
      <w:sz w:val="18"/>
      <w:szCs w:val="24"/>
      <w:lang w:val="en-AU" w:eastAsia="en-US"/>
    </w:rPr>
  </w:style>
  <w:style w:type="table" w:customStyle="1" w:styleId="TableGrid11">
    <w:name w:val="Table Grid11"/>
    <w:basedOn w:val="TableNormal"/>
    <w:next w:val="TableGrid"/>
    <w:uiPriority w:val="39"/>
    <w:rsid w:val="008410C9"/>
    <w:rPr>
      <w:rFonts w:eastAsia="Times New Roman"/>
      <w:lang w:val="de-DE"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8410C9"/>
    <w:rPr>
      <w:rFonts w:asciiTheme="minorHAnsi" w:eastAsiaTheme="minorEastAsia" w:hAnsiTheme="minorHAnsi" w:cstheme="minorBidi"/>
      <w:sz w:val="22"/>
      <w:szCs w:val="22"/>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20">
    <w:name w:val="Pa20"/>
    <w:basedOn w:val="Default"/>
    <w:next w:val="Default"/>
    <w:uiPriority w:val="99"/>
    <w:rsid w:val="008410C9"/>
    <w:pPr>
      <w:spacing w:line="201" w:lineRule="atLeast"/>
    </w:pPr>
    <w:rPr>
      <w:rFonts w:ascii="Stone Sans ITC" w:hAnsi="Stone Sans ITC" w:cstheme="minorBidi"/>
      <w:color w:val="auto"/>
    </w:rPr>
  </w:style>
  <w:style w:type="paragraph" w:styleId="Revision">
    <w:name w:val="Revision"/>
    <w:hidden/>
    <w:uiPriority w:val="99"/>
    <w:semiHidden/>
    <w:rsid w:val="000D625C"/>
    <w:rPr>
      <w:rFonts w:ascii="Verdana" w:eastAsia="Arial" w:hAnsi="Verdana" w:cs="Arial"/>
      <w:lang w:val="en-GB" w:eastAsia="en-US"/>
    </w:rPr>
  </w:style>
  <w:style w:type="paragraph" w:customStyle="1" w:styleId="Signed">
    <w:name w:val="Signed"/>
    <w:basedOn w:val="Normal"/>
    <w:uiPriority w:val="1"/>
    <w:qFormat/>
    <w:rsid w:val="000B7F2C"/>
    <w:pPr>
      <w:spacing w:after="960"/>
      <w:ind w:left="4820"/>
      <w:jc w:val="center"/>
    </w:pPr>
    <w:rPr>
      <w:rFonts w:eastAsiaTheme="minorEastAsia" w:cstheme="minorBidi"/>
      <w:szCs w:val="22"/>
      <w:lang w:eastAsia="zh-CN"/>
    </w:rPr>
  </w:style>
  <w:style w:type="paragraph" w:styleId="NormalWeb">
    <w:name w:val="Normal (Web)"/>
    <w:basedOn w:val="Normal"/>
    <w:uiPriority w:val="99"/>
    <w:semiHidden/>
    <w:unhideWhenUsed/>
    <w:rsid w:val="00D42B1D"/>
    <w:pPr>
      <w:spacing w:before="100" w:beforeAutospacing="1" w:after="100" w:afterAutospacing="1"/>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40006E"/>
  </w:style>
  <w:style w:type="paragraph" w:customStyle="1" w:styleId="Hayperlink">
    <w:name w:val="Hayperlink"/>
    <w:basedOn w:val="Bodytext"/>
    <w:uiPriority w:val="1"/>
    <w:rsid w:val="00597B4A"/>
  </w:style>
  <w:style w:type="paragraph" w:customStyle="1" w:styleId="ChapterheadforTOCkeepwithnext">
    <w:name w:val="Chapter head for TOC keep with next"/>
    <w:basedOn w:val="Normal"/>
    <w:rsid w:val="00E8163D"/>
  </w:style>
  <w:style w:type="paragraph" w:customStyle="1" w:styleId="Heading2keepwithnext">
    <w:name w:val="Heading_2 keep with next"/>
    <w:basedOn w:val="Normal"/>
    <w:uiPriority w:val="1"/>
    <w:rsid w:val="00E8163D"/>
  </w:style>
  <w:style w:type="paragraph" w:styleId="EndnoteText">
    <w:name w:val="endnote text"/>
    <w:basedOn w:val="Normal"/>
    <w:link w:val="EndnoteTextChar"/>
    <w:unhideWhenUsed/>
    <w:rsid w:val="00E8163D"/>
  </w:style>
  <w:style w:type="character" w:customStyle="1" w:styleId="EndnoteTextChar">
    <w:name w:val="Endnote Text Char"/>
    <w:basedOn w:val="DefaultParagraphFont"/>
    <w:link w:val="EndnoteText"/>
    <w:rsid w:val="00E8163D"/>
    <w:rPr>
      <w:rFonts w:ascii="Verdana" w:eastAsiaTheme="minorHAnsi" w:hAnsi="Verdana" w:cstheme="majorBidi"/>
      <w:color w:val="000000" w:themeColor="text1"/>
      <w:lang w:val="fr-FR"/>
    </w:rPr>
  </w:style>
  <w:style w:type="paragraph" w:customStyle="1" w:styleId="Referenceskeepwithnext">
    <w:name w:val="References keep with next"/>
    <w:basedOn w:val="References"/>
    <w:rsid w:val="00E8163D"/>
    <w:pPr>
      <w:keepNext/>
      <w:ind w:left="958" w:hanging="958"/>
    </w:pPr>
  </w:style>
  <w:style w:type="paragraph" w:customStyle="1" w:styleId="Tablesource">
    <w:name w:val="Table source"/>
    <w:basedOn w:val="Tablebody"/>
    <w:rsid w:val="00E8163D"/>
    <w:pPr>
      <w:ind w:left="340"/>
    </w:pPr>
    <w:rPr>
      <w:spacing w:val="0"/>
      <w:sz w:val="16"/>
    </w:rPr>
  </w:style>
  <w:style w:type="character" w:styleId="EndnoteReference">
    <w:name w:val="endnote reference"/>
    <w:basedOn w:val="DefaultParagraphFont"/>
    <w:semiHidden/>
    <w:unhideWhenUsed/>
    <w:rsid w:val="00E8163D"/>
    <w:rPr>
      <w:vertAlign w:val="superscript"/>
    </w:rPr>
  </w:style>
  <w:style w:type="character" w:customStyle="1" w:styleId="SpaceThinnumbers">
    <w:name w:val="Space Thin (numbers)"/>
    <w:rsid w:val="00E8163D"/>
  </w:style>
  <w:style w:type="character" w:customStyle="1" w:styleId="Serifbold">
    <w:name w:val="Serif bold"/>
    <w:rsid w:val="00E8163D"/>
  </w:style>
  <w:style w:type="character" w:customStyle="1" w:styleId="Serifsemibold">
    <w:name w:val="Serif semi bold"/>
    <w:rsid w:val="00E8163D"/>
    <w:rPr>
      <w:rFonts w:ascii="Verdana" w:hAnsi="Verdana"/>
      <w:sz w:val="20"/>
      <w:shd w:val="clear" w:color="auto" w:fill="auto"/>
      <w:lang w:val="fr-FR"/>
    </w:rPr>
  </w:style>
  <w:style w:type="character" w:customStyle="1" w:styleId="Serifbolditalic">
    <w:name w:val="Serif bold italic"/>
    <w:rsid w:val="00E8163D"/>
  </w:style>
  <w:style w:type="character" w:customStyle="1" w:styleId="Stixbold">
    <w:name w:val="Stix bold"/>
    <w:rsid w:val="00E8163D"/>
  </w:style>
  <w:style w:type="character" w:customStyle="1" w:styleId="Stixbolditalic">
    <w:name w:val="Stix bold italic"/>
    <w:rsid w:val="00E8163D"/>
  </w:style>
  <w:style w:type="character" w:customStyle="1" w:styleId="OSCARHighlightgreen">
    <w:name w:val="OSCAR Highlight green"/>
    <w:rsid w:val="00E8163D"/>
    <w:rPr>
      <w:bdr w:val="none" w:sz="0" w:space="0" w:color="auto"/>
      <w:shd w:val="solid" w:color="66FF19" w:fill="66FF19"/>
    </w:rPr>
  </w:style>
  <w:style w:type="character" w:customStyle="1" w:styleId="OSCARHighlightblue">
    <w:name w:val="OSCAR Highlight blue"/>
    <w:rsid w:val="00E8163D"/>
    <w:rPr>
      <w:bdr w:val="none" w:sz="0" w:space="0" w:color="auto"/>
      <w:shd w:val="solid" w:color="0099FF" w:fill="0099FF"/>
    </w:rPr>
  </w:style>
  <w:style w:type="character" w:customStyle="1" w:styleId="OSCARHighlightbluedark">
    <w:name w:val="OSCAR Highlight blue dark"/>
    <w:rsid w:val="00E8163D"/>
    <w:rPr>
      <w:color w:val="FFFFFF" w:themeColor="background1"/>
      <w:bdr w:val="none" w:sz="0" w:space="0" w:color="auto"/>
      <w:shd w:val="solid" w:color="003380" w:fill="003380"/>
    </w:rPr>
  </w:style>
  <w:style w:type="character" w:customStyle="1" w:styleId="OSCARHighlightblue255">
    <w:name w:val="OSCAR Highlight blue 255"/>
    <w:rsid w:val="00E8163D"/>
    <w:rPr>
      <w:color w:val="FFFFFF" w:themeColor="background1"/>
      <w:bdr w:val="none" w:sz="0" w:space="0" w:color="auto"/>
      <w:shd w:val="solid" w:color="0000FF" w:fill="0000FF"/>
    </w:rPr>
  </w:style>
  <w:style w:type="character" w:customStyle="1" w:styleId="OSCARHighlightgreendark">
    <w:name w:val="OSCAR Highlight green dark"/>
    <w:rsid w:val="00E8163D"/>
    <w:rPr>
      <w:color w:val="FFFFFF" w:themeColor="background1"/>
      <w:bdr w:val="none" w:sz="0" w:space="0" w:color="auto"/>
      <w:shd w:val="solid" w:color="00991F" w:fill="00991F"/>
    </w:rPr>
  </w:style>
  <w:style w:type="character" w:customStyle="1" w:styleId="OSCARHighlightorange">
    <w:name w:val="OSCAR Highlight orange"/>
    <w:rsid w:val="00E8163D"/>
    <w:rPr>
      <w:bdr w:val="none" w:sz="0" w:space="0" w:color="auto"/>
      <w:shd w:val="solid" w:color="FF9900" w:fill="FF9900"/>
    </w:rPr>
  </w:style>
  <w:style w:type="character" w:customStyle="1" w:styleId="OSCARHighlightbordeau">
    <w:name w:val="OSCAR Highlight bordeau"/>
    <w:rsid w:val="00E8163D"/>
    <w:rPr>
      <w:color w:val="FFFFFF" w:themeColor="background1"/>
      <w:bdr w:val="none" w:sz="0" w:space="0" w:color="auto"/>
      <w:shd w:val="solid" w:color="CC0047" w:fill="CC0047"/>
    </w:rPr>
  </w:style>
  <w:style w:type="character" w:customStyle="1" w:styleId="OSCARHighlightred">
    <w:name w:val="OSCAR Highlight red"/>
    <w:rsid w:val="00E8163D"/>
    <w:rPr>
      <w:color w:val="FFFFFF" w:themeColor="background1"/>
      <w:bdr w:val="none" w:sz="0" w:space="0" w:color="auto"/>
      <w:shd w:val="solid" w:color="FF0300" w:fill="FF0300"/>
    </w:rPr>
  </w:style>
  <w:style w:type="character" w:customStyle="1" w:styleId="OSCARHighlightgrey">
    <w:name w:val="OSCAR Highlight grey"/>
    <w:rsid w:val="00E8163D"/>
    <w:rPr>
      <w:color w:val="FFFFFF" w:themeColor="background1"/>
      <w:bdr w:val="none" w:sz="0" w:space="0" w:color="auto"/>
      <w:shd w:val="solid" w:color="A6A6A6" w:themeColor="background1" w:themeShade="A6" w:fill="A6A6A6" w:themeFill="background1" w:themeFillShade="A6"/>
    </w:rPr>
  </w:style>
  <w:style w:type="character" w:customStyle="1" w:styleId="ColorRed">
    <w:name w:val="Color Red"/>
    <w:rsid w:val="00E8163D"/>
    <w:rPr>
      <w:rFonts w:ascii="Verdana" w:hAnsi="Verdana"/>
      <w:color w:val="FF0000"/>
      <w:sz w:val="20"/>
      <w:shd w:val="clear" w:color="auto" w:fill="auto"/>
      <w:lang w:val="fr-FR"/>
    </w:rPr>
  </w:style>
  <w:style w:type="character" w:customStyle="1" w:styleId="SpaceEn">
    <w:name w:val="Space En"/>
    <w:uiPriority w:val="1"/>
    <w:rsid w:val="00E8163D"/>
  </w:style>
  <w:style w:type="character" w:customStyle="1" w:styleId="TPSMetaEnd">
    <w:name w:val="TPS Meta End"/>
    <w:uiPriority w:val="1"/>
    <w:rsid w:val="004619AE"/>
    <w:rPr>
      <w:rFonts w:ascii="Arial" w:eastAsia="Times New Roman" w:hAnsi="Arial" w:cs="Times New Roman"/>
      <w:b/>
      <w:noProof w:val="0"/>
      <w:color w:val="2F275B"/>
      <w:sz w:val="18"/>
      <w:szCs w:val="24"/>
      <w:shd w:val="clear" w:color="auto" w:fill="95B3D7" w:themeFill="accent1" w:themeFillTint="99"/>
      <w:lang w:val="en-US" w:eastAsia="en-US"/>
    </w:rPr>
  </w:style>
  <w:style w:type="paragraph" w:customStyle="1" w:styleId="Heading1forTOCkeepwithnext">
    <w:name w:val="Heading_1 for TOC keep with next"/>
    <w:basedOn w:val="Normal"/>
    <w:rsid w:val="00B66225"/>
  </w:style>
  <w:style w:type="paragraph" w:customStyle="1" w:styleId="Heading2forTOCkeepwithnext">
    <w:name w:val="Heading_2 for TOC keep with next"/>
    <w:basedOn w:val="Normal"/>
    <w:rsid w:val="00B66225"/>
  </w:style>
  <w:style w:type="character" w:customStyle="1" w:styleId="ListParagraphChar">
    <w:name w:val="List Paragraph Char"/>
    <w:aliases w:val="CEP Bullet List Char,Main numbered paragraph Char,List Paragraph (numbered (a)) Char,Normal 2 Char,List_Paragraph Char,Multilevel para_II Char,List Paragraph1 Char,Numbered List Paragraph Char,Bullets Char,123 List Paragraph Char"/>
    <w:basedOn w:val="DefaultParagraphFont"/>
    <w:link w:val="ListParagraph"/>
    <w:uiPriority w:val="34"/>
    <w:rsid w:val="00D44EA6"/>
    <w:rPr>
      <w:rFonts w:ascii="Arial" w:eastAsia="SimSun" w:hAnsi="Arial"/>
      <w:color w:val="000000" w:themeColor="text1"/>
      <w:sz w:val="22"/>
      <w:szCs w:val="22"/>
      <w:lang w:val="fr-CH"/>
    </w:rPr>
  </w:style>
  <w:style w:type="character" w:customStyle="1" w:styleId="superscript0">
    <w:name w:val="superscript"/>
    <w:basedOn w:val="DefaultParagraphFont"/>
    <w:rsid w:val="00DC723B"/>
  </w:style>
  <w:style w:type="character" w:customStyle="1" w:styleId="eop">
    <w:name w:val="eop"/>
    <w:basedOn w:val="DefaultParagraphFont"/>
    <w:rsid w:val="00DC723B"/>
  </w:style>
  <w:style w:type="table" w:customStyle="1" w:styleId="TableGrid1">
    <w:name w:val="Table Grid1"/>
    <w:basedOn w:val="TableNormal"/>
    <w:next w:val="TableGrid"/>
    <w:uiPriority w:val="59"/>
    <w:rsid w:val="00E142D9"/>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xxcontentpasted0">
    <w:name w:val="x_x_contentpasted0"/>
    <w:basedOn w:val="DefaultParagraphFont"/>
    <w:rsid w:val="001F37B4"/>
  </w:style>
  <w:style w:type="character" w:customStyle="1" w:styleId="xxcontentpasted1">
    <w:name w:val="x_x_contentpasted1"/>
    <w:basedOn w:val="DefaultParagraphFont"/>
    <w:rsid w:val="001F37B4"/>
  </w:style>
  <w:style w:type="paragraph" w:customStyle="1" w:styleId="xmsonormal">
    <w:name w:val="x_msonormal"/>
    <w:basedOn w:val="Normal"/>
    <w:rsid w:val="00916BF8"/>
    <w:pPr>
      <w:spacing w:before="100" w:beforeAutospacing="1" w:after="100" w:afterAutospacing="1"/>
    </w:pPr>
    <w:rPr>
      <w:rFonts w:ascii="Times New Roman" w:eastAsia="Times New Roman" w:hAnsi="Times New Roman" w:cs="Times New Roman"/>
      <w:color w:val="auto"/>
      <w:sz w:val="24"/>
      <w:szCs w:val="24"/>
    </w:rPr>
  </w:style>
  <w:style w:type="character" w:customStyle="1" w:styleId="xcontentpasted0">
    <w:name w:val="x_contentpasted0"/>
    <w:basedOn w:val="DefaultParagraphFont"/>
    <w:rsid w:val="008349FA"/>
  </w:style>
  <w:style w:type="character" w:customStyle="1" w:styleId="CaptionChar">
    <w:name w:val="Caption Char"/>
    <w:basedOn w:val="DefaultParagraphFont"/>
    <w:link w:val="Caption"/>
    <w:rsid w:val="000D701F"/>
    <w:rPr>
      <w:rFonts w:asciiTheme="minorHAnsi" w:eastAsiaTheme="minorHAnsi" w:hAnsiTheme="minorHAnsi" w:cstheme="majorBidi"/>
      <w:b/>
      <w:bCs/>
      <w:color w:val="4F81BD" w:themeColor="accent1"/>
      <w:sz w:val="18"/>
      <w:szCs w:val="18"/>
      <w:lang w:val="en-CA" w:eastAsia="en-CA"/>
    </w:rPr>
  </w:style>
  <w:style w:type="character" w:customStyle="1" w:styleId="findhit">
    <w:name w:val="findhit"/>
    <w:basedOn w:val="DefaultParagraphFont"/>
    <w:rsid w:val="000D70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69906">
      <w:bodyDiv w:val="1"/>
      <w:marLeft w:val="0"/>
      <w:marRight w:val="0"/>
      <w:marTop w:val="0"/>
      <w:marBottom w:val="0"/>
      <w:divBdr>
        <w:top w:val="none" w:sz="0" w:space="0" w:color="auto"/>
        <w:left w:val="none" w:sz="0" w:space="0" w:color="auto"/>
        <w:bottom w:val="none" w:sz="0" w:space="0" w:color="auto"/>
        <w:right w:val="none" w:sz="0" w:space="0" w:color="auto"/>
      </w:divBdr>
      <w:divsChild>
        <w:div w:id="665792533">
          <w:marLeft w:val="0"/>
          <w:marRight w:val="0"/>
          <w:marTop w:val="0"/>
          <w:marBottom w:val="0"/>
          <w:divBdr>
            <w:top w:val="none" w:sz="0" w:space="0" w:color="auto"/>
            <w:left w:val="none" w:sz="0" w:space="0" w:color="auto"/>
            <w:bottom w:val="none" w:sz="0" w:space="0" w:color="auto"/>
            <w:right w:val="none" w:sz="0" w:space="0" w:color="auto"/>
          </w:divBdr>
        </w:div>
        <w:div w:id="552622531">
          <w:marLeft w:val="0"/>
          <w:marRight w:val="0"/>
          <w:marTop w:val="0"/>
          <w:marBottom w:val="0"/>
          <w:divBdr>
            <w:top w:val="none" w:sz="0" w:space="0" w:color="auto"/>
            <w:left w:val="none" w:sz="0" w:space="0" w:color="auto"/>
            <w:bottom w:val="none" w:sz="0" w:space="0" w:color="auto"/>
            <w:right w:val="none" w:sz="0" w:space="0" w:color="auto"/>
          </w:divBdr>
        </w:div>
        <w:div w:id="908537543">
          <w:marLeft w:val="0"/>
          <w:marRight w:val="0"/>
          <w:marTop w:val="0"/>
          <w:marBottom w:val="0"/>
          <w:divBdr>
            <w:top w:val="none" w:sz="0" w:space="0" w:color="auto"/>
            <w:left w:val="none" w:sz="0" w:space="0" w:color="auto"/>
            <w:bottom w:val="none" w:sz="0" w:space="0" w:color="auto"/>
            <w:right w:val="none" w:sz="0" w:space="0" w:color="auto"/>
          </w:divBdr>
        </w:div>
        <w:div w:id="611521617">
          <w:marLeft w:val="0"/>
          <w:marRight w:val="0"/>
          <w:marTop w:val="0"/>
          <w:marBottom w:val="0"/>
          <w:divBdr>
            <w:top w:val="none" w:sz="0" w:space="0" w:color="auto"/>
            <w:left w:val="none" w:sz="0" w:space="0" w:color="auto"/>
            <w:bottom w:val="none" w:sz="0" w:space="0" w:color="auto"/>
            <w:right w:val="none" w:sz="0" w:space="0" w:color="auto"/>
          </w:divBdr>
        </w:div>
        <w:div w:id="1892691872">
          <w:marLeft w:val="0"/>
          <w:marRight w:val="0"/>
          <w:marTop w:val="0"/>
          <w:marBottom w:val="0"/>
          <w:divBdr>
            <w:top w:val="none" w:sz="0" w:space="0" w:color="auto"/>
            <w:left w:val="none" w:sz="0" w:space="0" w:color="auto"/>
            <w:bottom w:val="none" w:sz="0" w:space="0" w:color="auto"/>
            <w:right w:val="none" w:sz="0" w:space="0" w:color="auto"/>
          </w:divBdr>
        </w:div>
        <w:div w:id="673217454">
          <w:marLeft w:val="0"/>
          <w:marRight w:val="0"/>
          <w:marTop w:val="0"/>
          <w:marBottom w:val="0"/>
          <w:divBdr>
            <w:top w:val="none" w:sz="0" w:space="0" w:color="auto"/>
            <w:left w:val="none" w:sz="0" w:space="0" w:color="auto"/>
            <w:bottom w:val="none" w:sz="0" w:space="0" w:color="auto"/>
            <w:right w:val="none" w:sz="0" w:space="0" w:color="auto"/>
          </w:divBdr>
        </w:div>
      </w:divsChild>
    </w:div>
    <w:div w:id="50546816">
      <w:bodyDiv w:val="1"/>
      <w:marLeft w:val="0"/>
      <w:marRight w:val="0"/>
      <w:marTop w:val="0"/>
      <w:marBottom w:val="0"/>
      <w:divBdr>
        <w:top w:val="none" w:sz="0" w:space="0" w:color="auto"/>
        <w:left w:val="none" w:sz="0" w:space="0" w:color="auto"/>
        <w:bottom w:val="none" w:sz="0" w:space="0" w:color="auto"/>
        <w:right w:val="none" w:sz="0" w:space="0" w:color="auto"/>
      </w:divBdr>
    </w:div>
    <w:div w:id="65689499">
      <w:bodyDiv w:val="1"/>
      <w:marLeft w:val="0"/>
      <w:marRight w:val="0"/>
      <w:marTop w:val="0"/>
      <w:marBottom w:val="0"/>
      <w:divBdr>
        <w:top w:val="none" w:sz="0" w:space="0" w:color="auto"/>
        <w:left w:val="none" w:sz="0" w:space="0" w:color="auto"/>
        <w:bottom w:val="none" w:sz="0" w:space="0" w:color="auto"/>
        <w:right w:val="none" w:sz="0" w:space="0" w:color="auto"/>
      </w:divBdr>
    </w:div>
    <w:div w:id="115605780">
      <w:bodyDiv w:val="1"/>
      <w:marLeft w:val="0"/>
      <w:marRight w:val="0"/>
      <w:marTop w:val="0"/>
      <w:marBottom w:val="0"/>
      <w:divBdr>
        <w:top w:val="none" w:sz="0" w:space="0" w:color="auto"/>
        <w:left w:val="none" w:sz="0" w:space="0" w:color="auto"/>
        <w:bottom w:val="none" w:sz="0" w:space="0" w:color="auto"/>
        <w:right w:val="none" w:sz="0" w:space="0" w:color="auto"/>
      </w:divBdr>
    </w:div>
    <w:div w:id="174538017">
      <w:bodyDiv w:val="1"/>
      <w:marLeft w:val="0"/>
      <w:marRight w:val="0"/>
      <w:marTop w:val="0"/>
      <w:marBottom w:val="0"/>
      <w:divBdr>
        <w:top w:val="none" w:sz="0" w:space="0" w:color="auto"/>
        <w:left w:val="none" w:sz="0" w:space="0" w:color="auto"/>
        <w:bottom w:val="none" w:sz="0" w:space="0" w:color="auto"/>
        <w:right w:val="none" w:sz="0" w:space="0" w:color="auto"/>
      </w:divBdr>
    </w:div>
    <w:div w:id="354621546">
      <w:bodyDiv w:val="1"/>
      <w:marLeft w:val="0"/>
      <w:marRight w:val="0"/>
      <w:marTop w:val="0"/>
      <w:marBottom w:val="0"/>
      <w:divBdr>
        <w:top w:val="none" w:sz="0" w:space="0" w:color="auto"/>
        <w:left w:val="none" w:sz="0" w:space="0" w:color="auto"/>
        <w:bottom w:val="none" w:sz="0" w:space="0" w:color="auto"/>
        <w:right w:val="none" w:sz="0" w:space="0" w:color="auto"/>
      </w:divBdr>
    </w:div>
    <w:div w:id="376242386">
      <w:bodyDiv w:val="1"/>
      <w:marLeft w:val="0"/>
      <w:marRight w:val="0"/>
      <w:marTop w:val="0"/>
      <w:marBottom w:val="0"/>
      <w:divBdr>
        <w:top w:val="none" w:sz="0" w:space="0" w:color="auto"/>
        <w:left w:val="none" w:sz="0" w:space="0" w:color="auto"/>
        <w:bottom w:val="none" w:sz="0" w:space="0" w:color="auto"/>
        <w:right w:val="none" w:sz="0" w:space="0" w:color="auto"/>
      </w:divBdr>
    </w:div>
    <w:div w:id="383649643">
      <w:bodyDiv w:val="1"/>
      <w:marLeft w:val="0"/>
      <w:marRight w:val="0"/>
      <w:marTop w:val="0"/>
      <w:marBottom w:val="0"/>
      <w:divBdr>
        <w:top w:val="none" w:sz="0" w:space="0" w:color="auto"/>
        <w:left w:val="none" w:sz="0" w:space="0" w:color="auto"/>
        <w:bottom w:val="none" w:sz="0" w:space="0" w:color="auto"/>
        <w:right w:val="none" w:sz="0" w:space="0" w:color="auto"/>
      </w:divBdr>
    </w:div>
    <w:div w:id="497892985">
      <w:bodyDiv w:val="1"/>
      <w:marLeft w:val="0"/>
      <w:marRight w:val="0"/>
      <w:marTop w:val="0"/>
      <w:marBottom w:val="0"/>
      <w:divBdr>
        <w:top w:val="none" w:sz="0" w:space="0" w:color="auto"/>
        <w:left w:val="none" w:sz="0" w:space="0" w:color="auto"/>
        <w:bottom w:val="none" w:sz="0" w:space="0" w:color="auto"/>
        <w:right w:val="none" w:sz="0" w:space="0" w:color="auto"/>
      </w:divBdr>
    </w:div>
    <w:div w:id="541720645">
      <w:bodyDiv w:val="1"/>
      <w:marLeft w:val="0"/>
      <w:marRight w:val="0"/>
      <w:marTop w:val="0"/>
      <w:marBottom w:val="0"/>
      <w:divBdr>
        <w:top w:val="none" w:sz="0" w:space="0" w:color="auto"/>
        <w:left w:val="none" w:sz="0" w:space="0" w:color="auto"/>
        <w:bottom w:val="none" w:sz="0" w:space="0" w:color="auto"/>
        <w:right w:val="none" w:sz="0" w:space="0" w:color="auto"/>
      </w:divBdr>
    </w:div>
    <w:div w:id="600994124">
      <w:bodyDiv w:val="1"/>
      <w:marLeft w:val="0"/>
      <w:marRight w:val="0"/>
      <w:marTop w:val="0"/>
      <w:marBottom w:val="0"/>
      <w:divBdr>
        <w:top w:val="none" w:sz="0" w:space="0" w:color="auto"/>
        <w:left w:val="none" w:sz="0" w:space="0" w:color="auto"/>
        <w:bottom w:val="none" w:sz="0" w:space="0" w:color="auto"/>
        <w:right w:val="none" w:sz="0" w:space="0" w:color="auto"/>
      </w:divBdr>
    </w:div>
    <w:div w:id="654457732">
      <w:bodyDiv w:val="1"/>
      <w:marLeft w:val="0"/>
      <w:marRight w:val="0"/>
      <w:marTop w:val="0"/>
      <w:marBottom w:val="0"/>
      <w:divBdr>
        <w:top w:val="none" w:sz="0" w:space="0" w:color="auto"/>
        <w:left w:val="none" w:sz="0" w:space="0" w:color="auto"/>
        <w:bottom w:val="none" w:sz="0" w:space="0" w:color="auto"/>
        <w:right w:val="none" w:sz="0" w:space="0" w:color="auto"/>
      </w:divBdr>
      <w:divsChild>
        <w:div w:id="1026558638">
          <w:marLeft w:val="0"/>
          <w:marRight w:val="0"/>
          <w:marTop w:val="0"/>
          <w:marBottom w:val="0"/>
          <w:divBdr>
            <w:top w:val="none" w:sz="0" w:space="0" w:color="auto"/>
            <w:left w:val="none" w:sz="0" w:space="0" w:color="auto"/>
            <w:bottom w:val="none" w:sz="0" w:space="0" w:color="auto"/>
            <w:right w:val="none" w:sz="0" w:space="0" w:color="auto"/>
          </w:divBdr>
        </w:div>
        <w:div w:id="1257205154">
          <w:marLeft w:val="0"/>
          <w:marRight w:val="0"/>
          <w:marTop w:val="0"/>
          <w:marBottom w:val="0"/>
          <w:divBdr>
            <w:top w:val="none" w:sz="0" w:space="0" w:color="auto"/>
            <w:left w:val="none" w:sz="0" w:space="0" w:color="auto"/>
            <w:bottom w:val="none" w:sz="0" w:space="0" w:color="auto"/>
            <w:right w:val="none" w:sz="0" w:space="0" w:color="auto"/>
          </w:divBdr>
        </w:div>
        <w:div w:id="279145753">
          <w:marLeft w:val="0"/>
          <w:marRight w:val="0"/>
          <w:marTop w:val="0"/>
          <w:marBottom w:val="0"/>
          <w:divBdr>
            <w:top w:val="none" w:sz="0" w:space="0" w:color="auto"/>
            <w:left w:val="none" w:sz="0" w:space="0" w:color="auto"/>
            <w:bottom w:val="none" w:sz="0" w:space="0" w:color="auto"/>
            <w:right w:val="none" w:sz="0" w:space="0" w:color="auto"/>
          </w:divBdr>
        </w:div>
        <w:div w:id="2004046460">
          <w:marLeft w:val="0"/>
          <w:marRight w:val="0"/>
          <w:marTop w:val="0"/>
          <w:marBottom w:val="0"/>
          <w:divBdr>
            <w:top w:val="none" w:sz="0" w:space="0" w:color="auto"/>
            <w:left w:val="none" w:sz="0" w:space="0" w:color="auto"/>
            <w:bottom w:val="none" w:sz="0" w:space="0" w:color="auto"/>
            <w:right w:val="none" w:sz="0" w:space="0" w:color="auto"/>
          </w:divBdr>
        </w:div>
        <w:div w:id="2115781500">
          <w:marLeft w:val="0"/>
          <w:marRight w:val="0"/>
          <w:marTop w:val="0"/>
          <w:marBottom w:val="0"/>
          <w:divBdr>
            <w:top w:val="none" w:sz="0" w:space="0" w:color="auto"/>
            <w:left w:val="none" w:sz="0" w:space="0" w:color="auto"/>
            <w:bottom w:val="none" w:sz="0" w:space="0" w:color="auto"/>
            <w:right w:val="none" w:sz="0" w:space="0" w:color="auto"/>
          </w:divBdr>
        </w:div>
        <w:div w:id="18899892">
          <w:marLeft w:val="0"/>
          <w:marRight w:val="0"/>
          <w:marTop w:val="0"/>
          <w:marBottom w:val="0"/>
          <w:divBdr>
            <w:top w:val="none" w:sz="0" w:space="0" w:color="auto"/>
            <w:left w:val="none" w:sz="0" w:space="0" w:color="auto"/>
            <w:bottom w:val="none" w:sz="0" w:space="0" w:color="auto"/>
            <w:right w:val="none" w:sz="0" w:space="0" w:color="auto"/>
          </w:divBdr>
        </w:div>
      </w:divsChild>
    </w:div>
    <w:div w:id="935672530">
      <w:bodyDiv w:val="1"/>
      <w:marLeft w:val="0"/>
      <w:marRight w:val="0"/>
      <w:marTop w:val="0"/>
      <w:marBottom w:val="0"/>
      <w:divBdr>
        <w:top w:val="none" w:sz="0" w:space="0" w:color="auto"/>
        <w:left w:val="none" w:sz="0" w:space="0" w:color="auto"/>
        <w:bottom w:val="none" w:sz="0" w:space="0" w:color="auto"/>
        <w:right w:val="none" w:sz="0" w:space="0" w:color="auto"/>
      </w:divBdr>
    </w:div>
    <w:div w:id="966817471">
      <w:bodyDiv w:val="1"/>
      <w:marLeft w:val="0"/>
      <w:marRight w:val="0"/>
      <w:marTop w:val="0"/>
      <w:marBottom w:val="0"/>
      <w:divBdr>
        <w:top w:val="none" w:sz="0" w:space="0" w:color="auto"/>
        <w:left w:val="none" w:sz="0" w:space="0" w:color="auto"/>
        <w:bottom w:val="none" w:sz="0" w:space="0" w:color="auto"/>
        <w:right w:val="none" w:sz="0" w:space="0" w:color="auto"/>
      </w:divBdr>
    </w:div>
    <w:div w:id="1071660951">
      <w:bodyDiv w:val="1"/>
      <w:marLeft w:val="0"/>
      <w:marRight w:val="0"/>
      <w:marTop w:val="0"/>
      <w:marBottom w:val="0"/>
      <w:divBdr>
        <w:top w:val="none" w:sz="0" w:space="0" w:color="auto"/>
        <w:left w:val="none" w:sz="0" w:space="0" w:color="auto"/>
        <w:bottom w:val="none" w:sz="0" w:space="0" w:color="auto"/>
        <w:right w:val="none" w:sz="0" w:space="0" w:color="auto"/>
      </w:divBdr>
    </w:div>
    <w:div w:id="1185247993">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289361977">
      <w:bodyDiv w:val="1"/>
      <w:marLeft w:val="0"/>
      <w:marRight w:val="0"/>
      <w:marTop w:val="0"/>
      <w:marBottom w:val="0"/>
      <w:divBdr>
        <w:top w:val="none" w:sz="0" w:space="0" w:color="auto"/>
        <w:left w:val="none" w:sz="0" w:space="0" w:color="auto"/>
        <w:bottom w:val="none" w:sz="0" w:space="0" w:color="auto"/>
        <w:right w:val="none" w:sz="0" w:space="0" w:color="auto"/>
      </w:divBdr>
    </w:div>
    <w:div w:id="1324746508">
      <w:bodyDiv w:val="1"/>
      <w:marLeft w:val="0"/>
      <w:marRight w:val="0"/>
      <w:marTop w:val="0"/>
      <w:marBottom w:val="0"/>
      <w:divBdr>
        <w:top w:val="none" w:sz="0" w:space="0" w:color="auto"/>
        <w:left w:val="none" w:sz="0" w:space="0" w:color="auto"/>
        <w:bottom w:val="none" w:sz="0" w:space="0" w:color="auto"/>
        <w:right w:val="none" w:sz="0" w:space="0" w:color="auto"/>
      </w:divBdr>
      <w:divsChild>
        <w:div w:id="641812838">
          <w:marLeft w:val="547"/>
          <w:marRight w:val="0"/>
          <w:marTop w:val="154"/>
          <w:marBottom w:val="0"/>
          <w:divBdr>
            <w:top w:val="none" w:sz="0" w:space="0" w:color="auto"/>
            <w:left w:val="none" w:sz="0" w:space="0" w:color="auto"/>
            <w:bottom w:val="none" w:sz="0" w:space="0" w:color="auto"/>
            <w:right w:val="none" w:sz="0" w:space="0" w:color="auto"/>
          </w:divBdr>
        </w:div>
        <w:div w:id="257981968">
          <w:marLeft w:val="547"/>
          <w:marRight w:val="0"/>
          <w:marTop w:val="154"/>
          <w:marBottom w:val="0"/>
          <w:divBdr>
            <w:top w:val="none" w:sz="0" w:space="0" w:color="auto"/>
            <w:left w:val="none" w:sz="0" w:space="0" w:color="auto"/>
            <w:bottom w:val="none" w:sz="0" w:space="0" w:color="auto"/>
            <w:right w:val="none" w:sz="0" w:space="0" w:color="auto"/>
          </w:divBdr>
        </w:div>
      </w:divsChild>
    </w:div>
    <w:div w:id="1353611572">
      <w:bodyDiv w:val="1"/>
      <w:marLeft w:val="0"/>
      <w:marRight w:val="0"/>
      <w:marTop w:val="0"/>
      <w:marBottom w:val="0"/>
      <w:divBdr>
        <w:top w:val="none" w:sz="0" w:space="0" w:color="auto"/>
        <w:left w:val="none" w:sz="0" w:space="0" w:color="auto"/>
        <w:bottom w:val="none" w:sz="0" w:space="0" w:color="auto"/>
        <w:right w:val="none" w:sz="0" w:space="0" w:color="auto"/>
      </w:divBdr>
    </w:div>
    <w:div w:id="1469399788">
      <w:bodyDiv w:val="1"/>
      <w:marLeft w:val="0"/>
      <w:marRight w:val="0"/>
      <w:marTop w:val="0"/>
      <w:marBottom w:val="0"/>
      <w:divBdr>
        <w:top w:val="none" w:sz="0" w:space="0" w:color="auto"/>
        <w:left w:val="none" w:sz="0" w:space="0" w:color="auto"/>
        <w:bottom w:val="none" w:sz="0" w:space="0" w:color="auto"/>
        <w:right w:val="none" w:sz="0" w:space="0" w:color="auto"/>
      </w:divBdr>
      <w:divsChild>
        <w:div w:id="1166943994">
          <w:marLeft w:val="0"/>
          <w:marRight w:val="0"/>
          <w:marTop w:val="0"/>
          <w:marBottom w:val="0"/>
          <w:divBdr>
            <w:top w:val="none" w:sz="0" w:space="0" w:color="auto"/>
            <w:left w:val="none" w:sz="0" w:space="0" w:color="auto"/>
            <w:bottom w:val="none" w:sz="0" w:space="0" w:color="auto"/>
            <w:right w:val="none" w:sz="0" w:space="0" w:color="auto"/>
          </w:divBdr>
        </w:div>
        <w:div w:id="1307472916">
          <w:marLeft w:val="0"/>
          <w:marRight w:val="0"/>
          <w:marTop w:val="0"/>
          <w:marBottom w:val="0"/>
          <w:divBdr>
            <w:top w:val="none" w:sz="0" w:space="0" w:color="auto"/>
            <w:left w:val="none" w:sz="0" w:space="0" w:color="auto"/>
            <w:bottom w:val="none" w:sz="0" w:space="0" w:color="auto"/>
            <w:right w:val="none" w:sz="0" w:space="0" w:color="auto"/>
          </w:divBdr>
        </w:div>
        <w:div w:id="2034259576">
          <w:marLeft w:val="0"/>
          <w:marRight w:val="0"/>
          <w:marTop w:val="0"/>
          <w:marBottom w:val="0"/>
          <w:divBdr>
            <w:top w:val="none" w:sz="0" w:space="0" w:color="auto"/>
            <w:left w:val="none" w:sz="0" w:space="0" w:color="auto"/>
            <w:bottom w:val="none" w:sz="0" w:space="0" w:color="auto"/>
            <w:right w:val="none" w:sz="0" w:space="0" w:color="auto"/>
          </w:divBdr>
        </w:div>
      </w:divsChild>
    </w:div>
    <w:div w:id="1550412458">
      <w:bodyDiv w:val="1"/>
      <w:marLeft w:val="0"/>
      <w:marRight w:val="0"/>
      <w:marTop w:val="0"/>
      <w:marBottom w:val="0"/>
      <w:divBdr>
        <w:top w:val="none" w:sz="0" w:space="0" w:color="auto"/>
        <w:left w:val="none" w:sz="0" w:space="0" w:color="auto"/>
        <w:bottom w:val="none" w:sz="0" w:space="0" w:color="auto"/>
        <w:right w:val="none" w:sz="0" w:space="0" w:color="auto"/>
      </w:divBdr>
      <w:divsChild>
        <w:div w:id="1346325411">
          <w:marLeft w:val="547"/>
          <w:marRight w:val="0"/>
          <w:marTop w:val="154"/>
          <w:marBottom w:val="0"/>
          <w:divBdr>
            <w:top w:val="none" w:sz="0" w:space="0" w:color="auto"/>
            <w:left w:val="none" w:sz="0" w:space="0" w:color="auto"/>
            <w:bottom w:val="none" w:sz="0" w:space="0" w:color="auto"/>
            <w:right w:val="none" w:sz="0" w:space="0" w:color="auto"/>
          </w:divBdr>
        </w:div>
        <w:div w:id="1556550113">
          <w:marLeft w:val="547"/>
          <w:marRight w:val="0"/>
          <w:marTop w:val="154"/>
          <w:marBottom w:val="0"/>
          <w:divBdr>
            <w:top w:val="none" w:sz="0" w:space="0" w:color="auto"/>
            <w:left w:val="none" w:sz="0" w:space="0" w:color="auto"/>
            <w:bottom w:val="none" w:sz="0" w:space="0" w:color="auto"/>
            <w:right w:val="none" w:sz="0" w:space="0" w:color="auto"/>
          </w:divBdr>
        </w:div>
        <w:div w:id="2119332158">
          <w:marLeft w:val="547"/>
          <w:marRight w:val="0"/>
          <w:marTop w:val="154"/>
          <w:marBottom w:val="0"/>
          <w:divBdr>
            <w:top w:val="none" w:sz="0" w:space="0" w:color="auto"/>
            <w:left w:val="none" w:sz="0" w:space="0" w:color="auto"/>
            <w:bottom w:val="none" w:sz="0" w:space="0" w:color="auto"/>
            <w:right w:val="none" w:sz="0" w:space="0" w:color="auto"/>
          </w:divBdr>
        </w:div>
        <w:div w:id="1029717679">
          <w:marLeft w:val="547"/>
          <w:marRight w:val="0"/>
          <w:marTop w:val="154"/>
          <w:marBottom w:val="0"/>
          <w:divBdr>
            <w:top w:val="none" w:sz="0" w:space="0" w:color="auto"/>
            <w:left w:val="none" w:sz="0" w:space="0" w:color="auto"/>
            <w:bottom w:val="none" w:sz="0" w:space="0" w:color="auto"/>
            <w:right w:val="none" w:sz="0" w:space="0" w:color="auto"/>
          </w:divBdr>
        </w:div>
      </w:divsChild>
    </w:div>
    <w:div w:id="1621300905">
      <w:bodyDiv w:val="1"/>
      <w:marLeft w:val="0"/>
      <w:marRight w:val="0"/>
      <w:marTop w:val="0"/>
      <w:marBottom w:val="0"/>
      <w:divBdr>
        <w:top w:val="none" w:sz="0" w:space="0" w:color="auto"/>
        <w:left w:val="none" w:sz="0" w:space="0" w:color="auto"/>
        <w:bottom w:val="none" w:sz="0" w:space="0" w:color="auto"/>
        <w:right w:val="none" w:sz="0" w:space="0" w:color="auto"/>
      </w:divBdr>
    </w:div>
    <w:div w:id="1654599038">
      <w:bodyDiv w:val="1"/>
      <w:marLeft w:val="0"/>
      <w:marRight w:val="0"/>
      <w:marTop w:val="0"/>
      <w:marBottom w:val="0"/>
      <w:divBdr>
        <w:top w:val="none" w:sz="0" w:space="0" w:color="auto"/>
        <w:left w:val="none" w:sz="0" w:space="0" w:color="auto"/>
        <w:bottom w:val="none" w:sz="0" w:space="0" w:color="auto"/>
        <w:right w:val="none" w:sz="0" w:space="0" w:color="auto"/>
      </w:divBdr>
    </w:div>
    <w:div w:id="1719159682">
      <w:bodyDiv w:val="1"/>
      <w:marLeft w:val="0"/>
      <w:marRight w:val="0"/>
      <w:marTop w:val="0"/>
      <w:marBottom w:val="0"/>
      <w:divBdr>
        <w:top w:val="none" w:sz="0" w:space="0" w:color="auto"/>
        <w:left w:val="none" w:sz="0" w:space="0" w:color="auto"/>
        <w:bottom w:val="none" w:sz="0" w:space="0" w:color="auto"/>
        <w:right w:val="none" w:sz="0" w:space="0" w:color="auto"/>
      </w:divBdr>
      <w:divsChild>
        <w:div w:id="917401817">
          <w:marLeft w:val="0"/>
          <w:marRight w:val="0"/>
          <w:marTop w:val="0"/>
          <w:marBottom w:val="0"/>
          <w:divBdr>
            <w:top w:val="none" w:sz="0" w:space="0" w:color="auto"/>
            <w:left w:val="none" w:sz="0" w:space="0" w:color="auto"/>
            <w:bottom w:val="none" w:sz="0" w:space="0" w:color="auto"/>
            <w:right w:val="none" w:sz="0" w:space="0" w:color="auto"/>
          </w:divBdr>
        </w:div>
      </w:divsChild>
    </w:div>
    <w:div w:id="209932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brary.wmo.int/index.php?lvl=notice_display&amp;id=19223" TargetMode="External"/><Relationship Id="rId117" Type="http://schemas.openxmlformats.org/officeDocument/2006/relationships/header" Target="header2.xml"/><Relationship Id="rId21" Type="http://schemas.openxmlformats.org/officeDocument/2006/relationships/hyperlink" Target="https://community.wmo.int/governance/commission-membership/commission-observation-infrastructure-and-information-systems-infcom/commission-infrastructure-officers/infcom-management-group/standing-committee-earth-observing-systems-and-monitoring-networks-sc/national-focal-points" TargetMode="External"/><Relationship Id="rId42" Type="http://schemas.openxmlformats.org/officeDocument/2006/relationships/hyperlink" Target="https://library.wmo.int/index.php?lvl=notice_display&amp;id=9254" TargetMode="External"/><Relationship Id="rId47" Type="http://schemas.openxmlformats.org/officeDocument/2006/relationships/hyperlink" Target="https://library.wmo.int/index.php?lvl=notice_display&amp;id=22031" TargetMode="External"/><Relationship Id="rId63" Type="http://schemas.openxmlformats.org/officeDocument/2006/relationships/hyperlink" Target="https://library.wmo.int/index.php?lvl=notice_display&amp;id=10770" TargetMode="External"/><Relationship Id="rId68" Type="http://schemas.openxmlformats.org/officeDocument/2006/relationships/hyperlink" Target="https://library.wmo.int/index.php?lvl=notice_display&amp;id=19223" TargetMode="External"/><Relationship Id="rId84" Type="http://schemas.openxmlformats.org/officeDocument/2006/relationships/image" Target="media/image3.png"/><Relationship Id="rId89" Type="http://schemas.openxmlformats.org/officeDocument/2006/relationships/image" Target="media/image7.png"/><Relationship Id="rId112" Type="http://schemas.openxmlformats.org/officeDocument/2006/relationships/image" Target="media/image12.png"/><Relationship Id="rId16" Type="http://schemas.openxmlformats.org/officeDocument/2006/relationships/hyperlink" Target="https://library.wmo.int/index.php?lvl=notice_display&amp;id=19223" TargetMode="External"/><Relationship Id="rId107" Type="http://schemas.openxmlformats.org/officeDocument/2006/relationships/hyperlink" Target="https://library.wmo.int/index.php?lvl=notice_display&amp;id=20824" TargetMode="External"/><Relationship Id="rId11" Type="http://schemas.openxmlformats.org/officeDocument/2006/relationships/image" Target="media/image1.png"/><Relationship Id="rId32" Type="http://schemas.openxmlformats.org/officeDocument/2006/relationships/hyperlink" Target="https://community.wmo.int/activity-areas/wigos/gbon/implementation-global-basic-observing-network-gbon/defining-initial-composition-gbon/references-gbon-material" TargetMode="External"/><Relationship Id="rId37" Type="http://schemas.openxmlformats.org/officeDocument/2006/relationships/hyperlink" Target="https://library.wmo.int/index.php?lvl=notice_display&amp;id=21858" TargetMode="External"/><Relationship Id="rId53" Type="http://schemas.openxmlformats.org/officeDocument/2006/relationships/hyperlink" Target="http://docs.wis2box.wis.wmo.int" TargetMode="External"/><Relationship Id="rId58" Type="http://schemas.openxmlformats.org/officeDocument/2006/relationships/hyperlink" Target="https://library.wmo.int/index.php?lvl=notice_display&amp;id=9254" TargetMode="External"/><Relationship Id="rId74" Type="http://schemas.openxmlformats.org/officeDocument/2006/relationships/hyperlink" Target="https://oscar.wmo.int/surface/" TargetMode="External"/><Relationship Id="rId79" Type="http://schemas.openxmlformats.org/officeDocument/2006/relationships/hyperlink" Target="https://oscar.wmo.int/surface/" TargetMode="External"/><Relationship Id="rId102" Type="http://schemas.openxmlformats.org/officeDocument/2006/relationships/hyperlink" Target="https://library.wmo.int/index.php?lvl=notice_display&amp;id=20824" TargetMode="External"/><Relationship Id="rId5" Type="http://schemas.openxmlformats.org/officeDocument/2006/relationships/numbering" Target="numbering.xml"/><Relationship Id="rId90" Type="http://schemas.openxmlformats.org/officeDocument/2006/relationships/hyperlink" Target="https://oscar.wmo.int/surface/" TargetMode="External"/><Relationship Id="rId95" Type="http://schemas.openxmlformats.org/officeDocument/2006/relationships/image" Target="media/image8.png"/><Relationship Id="rId22" Type="http://schemas.openxmlformats.org/officeDocument/2006/relationships/hyperlink" Target="https://oscar.wmo.int/surface/" TargetMode="External"/><Relationship Id="rId27" Type="http://schemas.openxmlformats.org/officeDocument/2006/relationships/hyperlink" Target="https://library.wmo.int/index.php?lvl=notice_display&amp;id=13617" TargetMode="External"/><Relationship Id="rId43" Type="http://schemas.openxmlformats.org/officeDocument/2006/relationships/hyperlink" Target="https://library.wmo.int/index.php?lvl=notice_display&amp;id=21811" TargetMode="External"/><Relationship Id="rId48" Type="http://schemas.openxmlformats.org/officeDocument/2006/relationships/hyperlink" Target="https://library.wmo.int/index.php?lvl=notice_display&amp;id=13617" TargetMode="External"/><Relationship Id="rId64" Type="http://schemas.openxmlformats.org/officeDocument/2006/relationships/hyperlink" Target="https://library.wmo.int/index.php?lvl=notice_display&amp;id=15227" TargetMode="External"/><Relationship Id="rId69" Type="http://schemas.openxmlformats.org/officeDocument/2006/relationships/hyperlink" Target="https://library.wmo.int/index.php?lvl=notice_display&amp;id=10684" TargetMode="External"/><Relationship Id="rId113" Type="http://schemas.openxmlformats.org/officeDocument/2006/relationships/image" Target="media/image13.png"/><Relationship Id="rId118" Type="http://schemas.openxmlformats.org/officeDocument/2006/relationships/header" Target="header3.xml"/><Relationship Id="rId80" Type="http://schemas.openxmlformats.org/officeDocument/2006/relationships/hyperlink" Target="https://oscar.wmo.int/surface/" TargetMode="External"/><Relationship Id="rId85" Type="http://schemas.openxmlformats.org/officeDocument/2006/relationships/image" Target="media/image4.png"/><Relationship Id="rId12" Type="http://schemas.openxmlformats.org/officeDocument/2006/relationships/hyperlink" Target="https://library.wmo.int/index.php?lvl=notice_display&amp;id=21770" TargetMode="External"/><Relationship Id="rId17" Type="http://schemas.openxmlformats.org/officeDocument/2006/relationships/hyperlink" Target="https://oscar.wmo.int/surface/" TargetMode="External"/><Relationship Id="rId33" Type="http://schemas.openxmlformats.org/officeDocument/2006/relationships/hyperlink" Target="https://library.wmo.int/index.php?lvl=notice_display&amp;id=19223" TargetMode="External"/><Relationship Id="rId38" Type="http://schemas.openxmlformats.org/officeDocument/2006/relationships/hyperlink" Target="https://library.wmo.int/index.php?lvl=notice_display&amp;id=19223" TargetMode="External"/><Relationship Id="rId59" Type="http://schemas.openxmlformats.org/officeDocument/2006/relationships/hyperlink" Target="https://library.wmo.int/index.php?lvl=notice_display&amp;id=21811" TargetMode="External"/><Relationship Id="rId103" Type="http://schemas.openxmlformats.org/officeDocument/2006/relationships/hyperlink" Target="https://etrp.wmo.int/mod/folder/view.php?id=15184" TargetMode="External"/><Relationship Id="rId108" Type="http://schemas.openxmlformats.org/officeDocument/2006/relationships/hyperlink" Target="https://oscar.wmo.int/surface/" TargetMode="External"/><Relationship Id="rId54" Type="http://schemas.openxmlformats.org/officeDocument/2006/relationships/hyperlink" Target="https://library.wmo.int/index.php?lvl=notice_display&amp;id=19223" TargetMode="External"/><Relationship Id="rId70" Type="http://schemas.openxmlformats.org/officeDocument/2006/relationships/hyperlink" Target="https://library.wmo.int/index.php?lvl=notice_display&amp;id=21811" TargetMode="External"/><Relationship Id="rId75" Type="http://schemas.openxmlformats.org/officeDocument/2006/relationships/hyperlink" Target="https://library.wmo.int/index.php?lvl=notice_display&amp;id=19223" TargetMode="External"/><Relationship Id="rId91" Type="http://schemas.openxmlformats.org/officeDocument/2006/relationships/hyperlink" Target="https://oscar.wmo.int/surface/" TargetMode="External"/><Relationship Id="rId9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oscar.wmo.int/surface/" TargetMode="External"/><Relationship Id="rId28" Type="http://schemas.openxmlformats.org/officeDocument/2006/relationships/hyperlink" Target="https://oscar.wmo.int/surface/" TargetMode="External"/><Relationship Id="rId49" Type="http://schemas.openxmlformats.org/officeDocument/2006/relationships/hyperlink" Target="https://library.wmo.int/index.php?lvl=notice_display&amp;id=10684" TargetMode="External"/><Relationship Id="rId114" Type="http://schemas.openxmlformats.org/officeDocument/2006/relationships/hyperlink" Target="https://oscardepl.wmo.int/surface" TargetMode="External"/><Relationship Id="rId119" Type="http://schemas.openxmlformats.org/officeDocument/2006/relationships/footer" Target="footer1.xml"/><Relationship Id="rId44" Type="http://schemas.openxmlformats.org/officeDocument/2006/relationships/hyperlink" Target="https://library.wmo.int/index.php?lvl=notice_display&amp;id=19223" TargetMode="External"/><Relationship Id="rId60" Type="http://schemas.openxmlformats.org/officeDocument/2006/relationships/hyperlink" Target="https://library.wmo.int/index.php?lvl=notice_display&amp;id=16300" TargetMode="External"/><Relationship Id="rId65" Type="http://schemas.openxmlformats.org/officeDocument/2006/relationships/hyperlink" Target="https://library.wmo.int/index.php?lvl=notice_display&amp;id=20744" TargetMode="External"/><Relationship Id="rId81" Type="http://schemas.openxmlformats.org/officeDocument/2006/relationships/hyperlink" Target="https://oscar.wmo.int/surface/" TargetMode="External"/><Relationship Id="rId86" Type="http://schemas.openxmlformats.org/officeDocument/2006/relationships/hyperlink" Target="https://oscar.wmo.int/surfac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lliancehydromet.org/soff/" TargetMode="External"/><Relationship Id="rId18" Type="http://schemas.openxmlformats.org/officeDocument/2006/relationships/hyperlink" Target="https://oscar.wmo.int/surface/" TargetMode="External"/><Relationship Id="rId39" Type="http://schemas.openxmlformats.org/officeDocument/2006/relationships/hyperlink" Target="https://library.wmo.int/index.php?lvl=notice_display&amp;id=13617" TargetMode="External"/><Relationship Id="rId109" Type="http://schemas.openxmlformats.org/officeDocument/2006/relationships/hyperlink" Target="https://oscar.wmo.int/surface/" TargetMode="External"/><Relationship Id="rId34" Type="http://schemas.openxmlformats.org/officeDocument/2006/relationships/hyperlink" Target="https://community.wmo.int/activity-areas/wigos/gbon/implementation-global-basic-observing-network-gbon/defining-initial-composition-gbon/references-gbon-material" TargetMode="External"/><Relationship Id="rId50" Type="http://schemas.openxmlformats.org/officeDocument/2006/relationships/hyperlink" Target="https://library.wmo.int/index.php?lvl=notice_display&amp;id=19508" TargetMode="External"/><Relationship Id="rId55" Type="http://schemas.openxmlformats.org/officeDocument/2006/relationships/hyperlink" Target="https://library.wmo.int/index.php?lvl=notice_display&amp;id=13617" TargetMode="External"/><Relationship Id="rId76" Type="http://schemas.openxmlformats.org/officeDocument/2006/relationships/hyperlink" Target="https://library.wmo.int/index.php?lvl=notice_display&amp;id=19925" TargetMode="External"/><Relationship Id="rId97" Type="http://schemas.openxmlformats.org/officeDocument/2006/relationships/image" Target="media/image10.png"/><Relationship Id="rId104" Type="http://schemas.openxmlformats.org/officeDocument/2006/relationships/hyperlink" Target="https://vimeo.com/692187140?embedded=true&amp;source=video_title&amp;owner=7296552"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library.wmo.int/index.php?lvl=notice_display&amp;id=9254" TargetMode="External"/><Relationship Id="rId92" Type="http://schemas.openxmlformats.org/officeDocument/2006/relationships/hyperlink" Target="https://oscar.tools.wmo.int/web-client" TargetMode="External"/><Relationship Id="rId2" Type="http://schemas.openxmlformats.org/officeDocument/2006/relationships/customXml" Target="../customXml/item2.xml"/><Relationship Id="rId29" Type="http://schemas.openxmlformats.org/officeDocument/2006/relationships/hyperlink" Target="https://library.wmo.int/index.php?lvl=notice_display&amp;id=14206" TargetMode="External"/><Relationship Id="rId24" Type="http://schemas.openxmlformats.org/officeDocument/2006/relationships/hyperlink" Target="https://oscar.wmo.int/surface/" TargetMode="External"/><Relationship Id="rId40" Type="http://schemas.openxmlformats.org/officeDocument/2006/relationships/hyperlink" Target="https://library.wmo.int/index.php?lvl=notice_display&amp;id=10684" TargetMode="External"/><Relationship Id="rId45" Type="http://schemas.openxmlformats.org/officeDocument/2006/relationships/hyperlink" Target="https://library.wmo.int/index.php?lvl=notice_display&amp;id=20026" TargetMode="External"/><Relationship Id="rId66" Type="http://schemas.openxmlformats.org/officeDocument/2006/relationships/hyperlink" Target="https://library.wmo.int/index.php?lvl=notice_display&amp;id=15574" TargetMode="External"/><Relationship Id="rId87" Type="http://schemas.openxmlformats.org/officeDocument/2006/relationships/image" Target="media/image5.png"/><Relationship Id="rId110" Type="http://schemas.openxmlformats.org/officeDocument/2006/relationships/hyperlink" Target="https://library.wmo.int/index.php?lvl=notice_display&amp;id=20824" TargetMode="External"/><Relationship Id="rId115" Type="http://schemas.openxmlformats.org/officeDocument/2006/relationships/hyperlink" Target="https://confluence.ecmwf.int/display/WIGOSWT" TargetMode="External"/><Relationship Id="rId61" Type="http://schemas.openxmlformats.org/officeDocument/2006/relationships/hyperlink" Target="https://library.wmo.int/index.php?lvl=notice_display&amp;id=20181" TargetMode="External"/><Relationship Id="rId82" Type="http://schemas.openxmlformats.org/officeDocument/2006/relationships/hyperlink" Target="https://oscar.wmo.int/surface/" TargetMode="External"/><Relationship Id="rId19" Type="http://schemas.openxmlformats.org/officeDocument/2006/relationships/hyperlink" Target="https://oscar.wmo.int/surface/" TargetMode="External"/><Relationship Id="rId14" Type="http://schemas.openxmlformats.org/officeDocument/2006/relationships/hyperlink" Target="https://library.wmo.int/index.php?lvl=notice_display&amp;id=21771" TargetMode="External"/><Relationship Id="rId30" Type="http://schemas.openxmlformats.org/officeDocument/2006/relationships/hyperlink" Target="https://library.wmo.int/index.php?lvl=notice_display&amp;id=14073" TargetMode="External"/><Relationship Id="rId35" Type="http://schemas.openxmlformats.org/officeDocument/2006/relationships/hyperlink" Target="https://oscar.wmo.int/surface/" TargetMode="External"/><Relationship Id="rId56" Type="http://schemas.openxmlformats.org/officeDocument/2006/relationships/hyperlink" Target="https://library.wmo.int/index.php?lvl=notice_display&amp;id=10684" TargetMode="External"/><Relationship Id="rId77" Type="http://schemas.openxmlformats.org/officeDocument/2006/relationships/hyperlink" Target="https://library.wmo.int/index.php?lvl=notice_display&amp;id=20824" TargetMode="External"/><Relationship Id="rId100" Type="http://schemas.openxmlformats.org/officeDocument/2006/relationships/hyperlink" Target="https://oscar.tools.wmo.int/web-client" TargetMode="External"/><Relationship Id="rId105" Type="http://schemas.openxmlformats.org/officeDocument/2006/relationships/hyperlink" Target="https://oscar.wmo.int/surface/" TargetMode="External"/><Relationship Id="rId8" Type="http://schemas.openxmlformats.org/officeDocument/2006/relationships/webSettings" Target="webSettings.xml"/><Relationship Id="rId51" Type="http://schemas.openxmlformats.org/officeDocument/2006/relationships/hyperlink" Target="https://library.wmo.int/index.php?lvl=notice_display&amp;id=9254" TargetMode="External"/><Relationship Id="rId72" Type="http://schemas.openxmlformats.org/officeDocument/2006/relationships/hyperlink" Target="https://library.wmo.int/index.php?lvl=notice_display&amp;id=6856" TargetMode="External"/><Relationship Id="rId93" Type="http://schemas.openxmlformats.org/officeDocument/2006/relationships/hyperlink" Target="https://oscar.wmo.int/surface/" TargetMode="External"/><Relationship Id="rId98" Type="http://schemas.openxmlformats.org/officeDocument/2006/relationships/image" Target="media/image11.png"/><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oscar.wmo.int/surface/" TargetMode="External"/><Relationship Id="rId46" Type="http://schemas.openxmlformats.org/officeDocument/2006/relationships/hyperlink" Target="https://library.wmo.int/index.php?lvl=notice_display&amp;id=12407" TargetMode="External"/><Relationship Id="rId67" Type="http://schemas.openxmlformats.org/officeDocument/2006/relationships/hyperlink" Target="https://community.wmo.int/activity-areas/wigos/gbon/implementation-global-basic-observing-network-gbon/defining-initial-composition-gbon/references-gbon-material" TargetMode="External"/><Relationship Id="rId116" Type="http://schemas.openxmlformats.org/officeDocument/2006/relationships/header" Target="header1.xml"/><Relationship Id="rId20" Type="http://schemas.openxmlformats.org/officeDocument/2006/relationships/hyperlink" Target="https://community.wmo.int/global-basic-observing-network-gbon-station-designations-map" TargetMode="External"/><Relationship Id="rId41" Type="http://schemas.openxmlformats.org/officeDocument/2006/relationships/hyperlink" Target="https://library.wmo.int/index.php?lvl=notice_display&amp;id=19508" TargetMode="External"/><Relationship Id="rId62" Type="http://schemas.openxmlformats.org/officeDocument/2006/relationships/hyperlink" Target="https://library.wmo.int/index.php?lvl=notice_display&amp;id=15292" TargetMode="External"/><Relationship Id="rId83" Type="http://schemas.openxmlformats.org/officeDocument/2006/relationships/image" Target="media/image2.png"/><Relationship Id="rId88" Type="http://schemas.openxmlformats.org/officeDocument/2006/relationships/image" Target="media/image6.png"/><Relationship Id="rId111" Type="http://schemas.openxmlformats.org/officeDocument/2006/relationships/hyperlink" Target="https://oscar.wmo.int/surface/" TargetMode="External"/><Relationship Id="rId15" Type="http://schemas.openxmlformats.org/officeDocument/2006/relationships/hyperlink" Target="https://library.wmo.int/doc_num.php?explnum_id=11166" TargetMode="External"/><Relationship Id="rId36" Type="http://schemas.openxmlformats.org/officeDocument/2006/relationships/hyperlink" Target="https://library.wmo.int/index.php?lvl=notice_display&amp;id=20026" TargetMode="External"/><Relationship Id="rId57" Type="http://schemas.openxmlformats.org/officeDocument/2006/relationships/hyperlink" Target="https://library.wmo.int/index.php?lvl=notice_display&amp;id=19508" TargetMode="External"/><Relationship Id="rId106" Type="http://schemas.openxmlformats.org/officeDocument/2006/relationships/hyperlink" Target="https://oscar.wmo.int/surface/" TargetMode="External"/><Relationship Id="rId10" Type="http://schemas.openxmlformats.org/officeDocument/2006/relationships/endnotes" Target="endnotes.xml"/><Relationship Id="rId31" Type="http://schemas.openxmlformats.org/officeDocument/2006/relationships/hyperlink" Target="https://library.wmo.int/index.php?lvl=notice_display&amp;id=20026" TargetMode="External"/><Relationship Id="rId52" Type="http://schemas.openxmlformats.org/officeDocument/2006/relationships/hyperlink" Target="https://library.wmo.int/index.php?lvl=notice_display&amp;id=21811" TargetMode="External"/><Relationship Id="rId73" Type="http://schemas.openxmlformats.org/officeDocument/2006/relationships/hyperlink" Target="https://library.wmo.int/index.php?lvl=notice_display&amp;id=9254" TargetMode="External"/><Relationship Id="rId78" Type="http://schemas.openxmlformats.org/officeDocument/2006/relationships/hyperlink" Target="https://library.wmo.int/index.php?lvl=notice_display&amp;id=20824" TargetMode="External"/><Relationship Id="rId94" Type="http://schemas.openxmlformats.org/officeDocument/2006/relationships/hyperlink" Target="https://oscar.wmo.int/surface/" TargetMode="External"/><Relationship Id="rId99" Type="http://schemas.openxmlformats.org/officeDocument/2006/relationships/hyperlink" Target="https://oscar.wmo.int/surface/" TargetMode="External"/><Relationship Id="rId101" Type="http://schemas.openxmlformats.org/officeDocument/2006/relationships/hyperlink" Target="https://oscar.wmo.int/surface/" TargetMode="External"/><Relationship Id="rId122" Type="http://schemas.microsoft.com/office/2020/10/relationships/intelligence" Target="intelligence2.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idorenkova\OneDrive%20-%20WMO\Desktop\Templates\TEMPLATE_Manuals_Guid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59FCA29978B940B5A3D89EF27385AE" ma:contentTypeVersion="" ma:contentTypeDescription="Create a new document." ma:contentTypeScope="" ma:versionID="bf9365c25a92441b1ee6c305e75e8ee5">
  <xsd:schema xmlns:xsd="http://www.w3.org/2001/XMLSchema" xmlns:xs="http://www.w3.org/2001/XMLSchema" xmlns:p="http://schemas.microsoft.com/office/2006/metadata/properties" xmlns:ns2="1c5fc8e0-0999-4fb6-bf1f-7ab008e6dd1d" targetNamespace="http://schemas.microsoft.com/office/2006/metadata/properties" ma:root="true" ma:fieldsID="4b90bfc561bd565481a8f67666d1c250" ns2:_="">
    <xsd:import namespace="1c5fc8e0-0999-4fb6-bf1f-7ab008e6dd1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c8e0-0999-4fb6-bf1f-7ab008e6dd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p:properties>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A2867A69-C105-42ED-9932-FF0311B5C2F4}">
  <ds:schemaRefs>
    <ds:schemaRef ds:uri="http://schemas.microsoft.com/sharepoint/v3/contenttype/forms"/>
  </ds:schemaRefs>
</ds:datastoreItem>
</file>

<file path=customXml/itemProps2.xml><?xml version="1.0" encoding="utf-8"?>
<ds:datastoreItem xmlns:ds="http://schemas.openxmlformats.org/officeDocument/2006/customXml" ds:itemID="{AAA3C46A-F8E6-4130-80B9-A4F5B2874956}"/>
</file>

<file path=customXml/itemProps3.xml><?xml version="1.0" encoding="utf-8"?>
<ds:datastoreItem xmlns:ds="http://schemas.openxmlformats.org/officeDocument/2006/customXml" ds:itemID="{79779C3F-48C5-4B41-B139-72EA319A2965}">
  <ds:schemaRefs>
    <ds:schemaRef ds:uri="http://purl.org/dc/terms/"/>
    <ds:schemaRef ds:uri="http://purl.org/dc/elements/1.1/"/>
    <ds:schemaRef ds:uri="ce21bc6c-711a-4065-a01c-a8f0e29e3ad8"/>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http://purl.org/dc/dcmitype/"/>
    <ds:schemaRef ds:uri="3679bf0f-1d7e-438f-afa5-6ebf1e20f9b8"/>
    <ds:schemaRef ds:uri="http://www.w3.org/XML/1998/namespace"/>
  </ds:schemaRefs>
</ds:datastoreItem>
</file>

<file path=customXml/itemProps4.xml><?xml version="1.0" encoding="utf-8"?>
<ds:datastoreItem xmlns:ds="http://schemas.openxmlformats.org/officeDocument/2006/customXml" ds:itemID="{8535C150-DE66-4107-B3A5-20D606634140}">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TEMPLATE_Manuals_Guides.dotx</Template>
  <TotalTime>520</TotalTime>
  <Pages>44</Pages>
  <Words>14610</Words>
  <Characters>77704</Characters>
  <Application>Microsoft Office Word</Application>
  <DocSecurity>0</DocSecurity>
  <Lines>2098</Lines>
  <Paragraphs>593</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WMO Document Template</vt:lpstr>
      <vt:lpstr>WMO Document Template</vt:lpstr>
      <vt:lpstr>WMO Document Template</vt:lpstr>
    </vt:vector>
  </TitlesOfParts>
  <Company>WMO</Company>
  <LinksUpToDate>false</LinksUpToDate>
  <CharactersWithSpaces>91844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IZahumensky@wmo.int</dc:creator>
  <cp:lastModifiedBy>Elena Vicente</cp:lastModifiedBy>
  <cp:revision>513</cp:revision>
  <cp:lastPrinted>2022-12-19T14:34:00Z</cp:lastPrinted>
  <dcterms:created xsi:type="dcterms:W3CDTF">2023-01-19T14:29:00Z</dcterms:created>
  <dcterms:modified xsi:type="dcterms:W3CDTF">2023-02-13T08:24:00Z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0x0101003F59FCA29978B940B5A3D89EF27385AE</vt:lpwstr>
  </property>
  <property fmtid="{D5CDD505-2E9C-101B-9397-08002B2CF9AE}" pid="3" name="MediaServiceImageTags">
    <vt:lpwstr/>
  </property>
  <property fmtid="{D5CDD505-2E9C-101B-9397-08002B2CF9AE}" pid="4" name="GrammarlyDocumentId">
    <vt:lpwstr>4070df811a50f88e270435312a382f9864ee872a6fc9eb0291cb9da08bd6efde</vt:lpwstr>
  </property>
  <property fmtid="{D5CDD505-2E9C-101B-9397-08002B2CF9AE}" pid="5" name="TranslatedWith">
    <vt:lpwstr>Mercury</vt:lpwstr>
  </property>
  <property fmtid="{D5CDD505-2E9C-101B-9397-08002B2CF9AE}" pid="6" name="GeneratedBy">
    <vt:lpwstr>Marina.Gil.Aranda</vt:lpwstr>
  </property>
  <property fmtid="{D5CDD505-2E9C-101B-9397-08002B2CF9AE}" pid="7" name="GeneratedDate">
    <vt:lpwstr>02/09/2023 10:52:25</vt:lpwstr>
  </property>
  <property fmtid="{D5CDD505-2E9C-101B-9397-08002B2CF9AE}" pid="8" name="OriginalDocID">
    <vt:lpwstr>b4f548b3-29c3-4e4f-b9c9-030ac5b0487b</vt:lpwstr>
  </property>
</Properties>
</file>